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F324E" w14:textId="30215DE6" w:rsidR="00835A58" w:rsidRPr="003A3EC6" w:rsidRDefault="00A255A2">
      <w:pPr>
        <w:pStyle w:val="Corpotesto"/>
        <w:ind w:left="2439"/>
        <w:rPr>
          <w:rFonts w:asciiTheme="minorHAnsi" w:hAnsiTheme="minorHAnsi" w:cstheme="minorHAnsi"/>
          <w:sz w:val="20"/>
        </w:rPr>
      </w:pPr>
      <w:r>
        <w:rPr>
          <w:rFonts w:asciiTheme="minorHAnsi" w:hAnsiTheme="minorHAnsi" w:cstheme="minorHAnsi"/>
          <w:sz w:val="20"/>
        </w:rPr>
        <w:t>+</w:t>
      </w:r>
      <w:r w:rsidR="00197FA0" w:rsidRPr="003A3EC6">
        <w:rPr>
          <w:rFonts w:asciiTheme="minorHAnsi" w:hAnsiTheme="minorHAnsi" w:cstheme="minorHAnsi"/>
          <w:noProof/>
          <w:sz w:val="20"/>
          <w:lang w:eastAsia="it-IT"/>
        </w:rPr>
        <w:drawing>
          <wp:inline distT="0" distB="0" distL="0" distR="0" wp14:anchorId="531618D6" wp14:editId="11C3AC0D">
            <wp:extent cx="3257229" cy="70723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57229" cy="707231"/>
                    </a:xfrm>
                    <a:prstGeom prst="rect">
                      <a:avLst/>
                    </a:prstGeom>
                  </pic:spPr>
                </pic:pic>
              </a:graphicData>
            </a:graphic>
          </wp:inline>
        </w:drawing>
      </w:r>
    </w:p>
    <w:p w14:paraId="5A157D91" w14:textId="77777777" w:rsidR="00835A58" w:rsidRPr="00D2187D" w:rsidRDefault="00835A58">
      <w:pPr>
        <w:pStyle w:val="Corpotesto"/>
        <w:rPr>
          <w:rFonts w:asciiTheme="minorHAnsi" w:hAnsiTheme="minorHAnsi" w:cstheme="minorHAnsi"/>
        </w:rPr>
      </w:pPr>
    </w:p>
    <w:p w14:paraId="057F0815" w14:textId="68B40885" w:rsidR="00835A58" w:rsidRPr="00D2187D" w:rsidRDefault="00D2187D">
      <w:pPr>
        <w:pStyle w:val="Corpotesto"/>
        <w:rPr>
          <w:rFonts w:asciiTheme="minorHAnsi" w:hAnsiTheme="minorHAnsi" w:cstheme="minorHAnsi"/>
        </w:rPr>
      </w:pPr>
      <w:r w:rsidRPr="00D2187D">
        <w:rPr>
          <w:rFonts w:asciiTheme="minorHAnsi" w:hAnsiTheme="minorHAnsi" w:cstheme="minorHAnsi"/>
          <w:noProof/>
          <w:lang w:eastAsia="it-IT"/>
        </w:rPr>
        <mc:AlternateContent>
          <mc:Choice Requires="wps">
            <w:drawing>
              <wp:anchor distT="0" distB="0" distL="0" distR="0" simplePos="0" relativeHeight="487588352" behindDoc="1" locked="0" layoutInCell="1" allowOverlap="1" wp14:anchorId="4B4A3C6C" wp14:editId="36374B4F">
                <wp:simplePos x="0" y="0"/>
                <wp:positionH relativeFrom="page">
                  <wp:posOffset>3981450</wp:posOffset>
                </wp:positionH>
                <wp:positionV relativeFrom="paragraph">
                  <wp:posOffset>433705</wp:posOffset>
                </wp:positionV>
                <wp:extent cx="2886075" cy="971550"/>
                <wp:effectExtent l="0" t="0" r="28575" b="19050"/>
                <wp:wrapTopAndBottom/>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971550"/>
                        </a:xfrm>
                        <a:prstGeom prst="rect">
                          <a:avLst/>
                        </a:prstGeom>
                        <a:noFill/>
                        <a:ln w="12192">
                          <a:solidFill>
                            <a:srgbClr val="B3CC82"/>
                          </a:solidFill>
                          <a:miter lim="800000"/>
                          <a:headEnd/>
                          <a:tailEnd/>
                        </a:ln>
                        <a:extLst>
                          <a:ext uri="{909E8E84-426E-40DD-AFC4-6F175D3DCCD1}">
                            <a14:hiddenFill xmlns:a14="http://schemas.microsoft.com/office/drawing/2010/main">
                              <a:solidFill>
                                <a:srgbClr val="FFFFFF"/>
                              </a:solidFill>
                            </a14:hiddenFill>
                          </a:ext>
                        </a:extLst>
                      </wps:spPr>
                      <wps:txbx>
                        <w:txbxContent>
                          <w:p w14:paraId="705F033B" w14:textId="77777777" w:rsidR="00485B9B" w:rsidRDefault="00197FA0" w:rsidP="00AA781C">
                            <w:pPr>
                              <w:spacing w:before="56"/>
                              <w:ind w:left="567" w:right="109" w:hanging="567"/>
                              <w:jc w:val="both"/>
                              <w:rPr>
                                <w:rFonts w:asciiTheme="minorHAnsi" w:hAnsiTheme="minorHAnsi" w:cstheme="minorHAnsi"/>
                                <w:b/>
                                <w:i/>
                                <w:color w:val="007736"/>
                              </w:rPr>
                            </w:pPr>
                            <w:r>
                              <w:rPr>
                                <w:b/>
                              </w:rPr>
                              <w:t>AREA</w:t>
                            </w:r>
                            <w:r>
                              <w:rPr>
                                <w:b/>
                                <w:spacing w:val="-1"/>
                              </w:rPr>
                              <w:t xml:space="preserve"> </w:t>
                            </w:r>
                            <w:bookmarkStart w:id="0" w:name="_Hlk188865736"/>
                            <w:r w:rsidR="00D2187D">
                              <w:rPr>
                                <w:rFonts w:asciiTheme="minorHAnsi" w:hAnsiTheme="minorHAnsi" w:cstheme="minorHAnsi"/>
                                <w:b/>
                                <w:i/>
                                <w:color w:val="007736"/>
                              </w:rPr>
                              <w:t xml:space="preserve">Direzione </w:t>
                            </w:r>
                            <w:r w:rsidR="00485B9B">
                              <w:rPr>
                                <w:rFonts w:asciiTheme="minorHAnsi" w:hAnsiTheme="minorHAnsi" w:cstheme="minorHAnsi"/>
                                <w:b/>
                                <w:i/>
                                <w:color w:val="007736"/>
                              </w:rPr>
                              <w:t xml:space="preserve">politiche del lavoro, welfare e sicurezza sul lavoro. </w:t>
                            </w:r>
                          </w:p>
                          <w:p w14:paraId="41030B49" w14:textId="77777777" w:rsidR="00AA781C" w:rsidRDefault="00AA781C" w:rsidP="00AA781C">
                            <w:pPr>
                              <w:spacing w:before="56"/>
                              <w:ind w:left="567" w:right="109" w:hanging="567"/>
                              <w:jc w:val="both"/>
                              <w:rPr>
                                <w:rFonts w:asciiTheme="minorHAnsi" w:hAnsiTheme="minorHAnsi" w:cstheme="minorHAnsi"/>
                                <w:b/>
                                <w:i/>
                                <w:color w:val="007736"/>
                              </w:rPr>
                            </w:pPr>
                          </w:p>
                          <w:bookmarkEnd w:id="0"/>
                          <w:p w14:paraId="15407268" w14:textId="51DEAA87" w:rsidR="00835A58" w:rsidRDefault="00AA781C" w:rsidP="00406135">
                            <w:pPr>
                              <w:rPr>
                                <w:b/>
                              </w:rPr>
                            </w:pPr>
                            <w:r>
                              <w:rPr>
                                <w:b/>
                              </w:rPr>
                              <w:t xml:space="preserve">  </w:t>
                            </w:r>
                            <w:r w:rsidR="00197FA0">
                              <w:rPr>
                                <w:b/>
                              </w:rPr>
                              <w:t>CIRCOLARE</w:t>
                            </w:r>
                            <w:r w:rsidR="00197FA0">
                              <w:rPr>
                                <w:b/>
                                <w:spacing w:val="-3"/>
                              </w:rPr>
                              <w:t xml:space="preserve"> </w:t>
                            </w:r>
                            <w:r w:rsidR="00197FA0">
                              <w:rPr>
                                <w:b/>
                              </w:rPr>
                              <w:t>N</w:t>
                            </w:r>
                            <w:r w:rsidR="00197FA0" w:rsidRPr="00F70A51">
                              <w:rPr>
                                <w:b/>
                              </w:rPr>
                              <w:t>.</w:t>
                            </w:r>
                            <w:r w:rsidR="00F70A51">
                              <w:rPr>
                                <w:b/>
                              </w:rPr>
                              <w:t xml:space="preserve"> </w:t>
                            </w:r>
                            <w:r w:rsidR="00A255A2">
                              <w:rPr>
                                <w:b/>
                              </w:rPr>
                              <w:t>17706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A3C6C" id="_x0000_t202" coordsize="21600,21600" o:spt="202" path="m,l,21600r21600,l21600,xe">
                <v:stroke joinstyle="miter"/>
                <v:path gradientshapeok="t" o:connecttype="rect"/>
              </v:shapetype>
              <v:shape id="Text Box 6" o:spid="_x0000_s1026" type="#_x0000_t202" style="position:absolute;margin-left:313.5pt;margin-top:34.15pt;width:227.25pt;height:76.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fdEAIAAPMDAAAOAAAAZHJzL2Uyb0RvYy54bWysU1Fv0zAQfkfiP1h+p0mDunVR02nrGEIa&#10;A2nwAxzHSSwcnzm7Tcav5+y03QRviDxY59z58933fd5cT4NhB4Veg634cpFzpqyERtuu4t+/3b9b&#10;c+aDsI0wYFXFn5Xn19u3bzajK1UBPZhGISMQ68vRVbwPwZVZ5mWvBuEX4JSlZAs4iEBb7LIGxUjo&#10;g8mKPL/IRsDGIUjlPf29m5N8m/DbVsnwpW29CsxUnHoLacW01nHNthtRdihcr+WxDfEPXQxCW7r0&#10;DHUngmB71H9BDVoieGjDQsKQQdtqqdIMNM0y/2Oap144lWYhcrw70+T/H6x8PDy5r8jCdAsTCZiG&#10;8O4B5A/PLOx6YTt1gwhjr0RDFy8jZdnofHk8Gqn2pY8g9fgZGhJZ7AMkoKnFIbJCczJCJwGez6Sr&#10;KTBJP4v1+iK/XHEmKXd1uVytkiqZKE+nHfrwUcHAYlBxJFETujg8+BC7EeWpJF5m4V4bk4Q1lo3U&#10;crG8KubBwOgmZmOdx67eGWQHQd64fb/brYs0G2Velw06kEONHiq+zuM3eybS8cE26ZogtJljasXY&#10;Iz+RkpmcMNUTFUaeamieiSmE2Yn0cijoAX9xNpILK+5/7gUqzswnS2xHy54CPAX1KRBW0tGKB87m&#10;cBdma+8d6q4n5FlPCzekSKsTWS9dHPskZyUOj68gWvf1PlW9vNXtbwAAAP//AwBQSwMEFAAGAAgA&#10;AAAhAAX+i9TgAAAACwEAAA8AAABkcnMvZG93bnJldi54bWxMj81OwzAQhO9IvIO1SNyoYxdKGuJU&#10;/Ihz1JRWHN14SaLG6xC7bXh73BPcZjWj2W/y1WR7dsLRd44UiFkCDKl2pqNGwcfm/S4F5oMmo3tH&#10;qOAHPayK66tcZ8adaY2nKjQslpDPtII2hCHj3NctWu1nbkCK3pcbrQ7xHBtuRn2O5bbnMkkW3OqO&#10;4odWD/jaYn2ojlbB/UFu6vWOvpflW/myHMvtp6iEUrc30/MTsIBT+AvDBT+iQxGZ9u5IxrNewUI+&#10;xi0hinQO7BJIUvEAbK9ASjEHXuT8/4biFwAA//8DAFBLAQItABQABgAIAAAAIQC2gziS/gAAAOEB&#10;AAATAAAAAAAAAAAAAAAAAAAAAABbQ29udGVudF9UeXBlc10ueG1sUEsBAi0AFAAGAAgAAAAhADj9&#10;If/WAAAAlAEAAAsAAAAAAAAAAAAAAAAALwEAAF9yZWxzLy5yZWxzUEsBAi0AFAAGAAgAAAAhAO+3&#10;190QAgAA8wMAAA4AAAAAAAAAAAAAAAAALgIAAGRycy9lMm9Eb2MueG1sUEsBAi0AFAAGAAgAAAAh&#10;AAX+i9TgAAAACwEAAA8AAAAAAAAAAAAAAAAAagQAAGRycy9kb3ducmV2LnhtbFBLBQYAAAAABAAE&#10;APMAAAB3BQAAAAA=&#10;" filled="f" strokecolor="#b3cc82" strokeweight=".96pt">
                <v:textbox inset="0,0,0,0">
                  <w:txbxContent>
                    <w:p w14:paraId="705F033B" w14:textId="77777777" w:rsidR="00485B9B" w:rsidRDefault="00197FA0" w:rsidP="00AA781C">
                      <w:pPr>
                        <w:spacing w:before="56"/>
                        <w:ind w:left="567" w:right="109" w:hanging="567"/>
                        <w:jc w:val="both"/>
                        <w:rPr>
                          <w:rFonts w:asciiTheme="minorHAnsi" w:hAnsiTheme="minorHAnsi" w:cstheme="minorHAnsi"/>
                          <w:b/>
                          <w:i/>
                          <w:color w:val="007736"/>
                        </w:rPr>
                      </w:pPr>
                      <w:r>
                        <w:rPr>
                          <w:b/>
                        </w:rPr>
                        <w:t>AREA</w:t>
                      </w:r>
                      <w:r>
                        <w:rPr>
                          <w:b/>
                          <w:spacing w:val="-1"/>
                        </w:rPr>
                        <w:t xml:space="preserve"> </w:t>
                      </w:r>
                      <w:bookmarkStart w:id="1" w:name="_Hlk188865736"/>
                      <w:r w:rsidR="00D2187D">
                        <w:rPr>
                          <w:rFonts w:asciiTheme="minorHAnsi" w:hAnsiTheme="minorHAnsi" w:cstheme="minorHAnsi"/>
                          <w:b/>
                          <w:i/>
                          <w:color w:val="007736"/>
                        </w:rPr>
                        <w:t xml:space="preserve">Direzione </w:t>
                      </w:r>
                      <w:r w:rsidR="00485B9B">
                        <w:rPr>
                          <w:rFonts w:asciiTheme="minorHAnsi" w:hAnsiTheme="minorHAnsi" w:cstheme="minorHAnsi"/>
                          <w:b/>
                          <w:i/>
                          <w:color w:val="007736"/>
                        </w:rPr>
                        <w:t xml:space="preserve">politiche del lavoro, welfare e sicurezza sul lavoro. </w:t>
                      </w:r>
                    </w:p>
                    <w:p w14:paraId="41030B49" w14:textId="77777777" w:rsidR="00AA781C" w:rsidRDefault="00AA781C" w:rsidP="00AA781C">
                      <w:pPr>
                        <w:spacing w:before="56"/>
                        <w:ind w:left="567" w:right="109" w:hanging="567"/>
                        <w:jc w:val="both"/>
                        <w:rPr>
                          <w:rFonts w:asciiTheme="minorHAnsi" w:hAnsiTheme="minorHAnsi" w:cstheme="minorHAnsi"/>
                          <w:b/>
                          <w:i/>
                          <w:color w:val="007736"/>
                        </w:rPr>
                      </w:pPr>
                    </w:p>
                    <w:bookmarkEnd w:id="1"/>
                    <w:p w14:paraId="15407268" w14:textId="51DEAA87" w:rsidR="00835A58" w:rsidRDefault="00AA781C" w:rsidP="00406135">
                      <w:pPr>
                        <w:rPr>
                          <w:b/>
                        </w:rPr>
                      </w:pPr>
                      <w:r>
                        <w:rPr>
                          <w:b/>
                        </w:rPr>
                        <w:t xml:space="preserve">  </w:t>
                      </w:r>
                      <w:r w:rsidR="00197FA0">
                        <w:rPr>
                          <w:b/>
                        </w:rPr>
                        <w:t>CIRCOLARE</w:t>
                      </w:r>
                      <w:r w:rsidR="00197FA0">
                        <w:rPr>
                          <w:b/>
                          <w:spacing w:val="-3"/>
                        </w:rPr>
                        <w:t xml:space="preserve"> </w:t>
                      </w:r>
                      <w:r w:rsidR="00197FA0">
                        <w:rPr>
                          <w:b/>
                        </w:rPr>
                        <w:t>N</w:t>
                      </w:r>
                      <w:r w:rsidR="00197FA0" w:rsidRPr="00F70A51">
                        <w:rPr>
                          <w:b/>
                        </w:rPr>
                        <w:t>.</w:t>
                      </w:r>
                      <w:r w:rsidR="00F70A51">
                        <w:rPr>
                          <w:b/>
                        </w:rPr>
                        <w:t xml:space="preserve"> </w:t>
                      </w:r>
                      <w:r w:rsidR="00A255A2">
                        <w:rPr>
                          <w:b/>
                        </w:rPr>
                        <w:t>17706</w:t>
                      </w:r>
                    </w:p>
                  </w:txbxContent>
                </v:textbox>
                <w10:wrap type="topAndBottom" anchorx="page"/>
              </v:shape>
            </w:pict>
          </mc:Fallback>
        </mc:AlternateContent>
      </w:r>
    </w:p>
    <w:p w14:paraId="7565D063" w14:textId="694A7694" w:rsidR="00835A58" w:rsidRPr="00D2187D" w:rsidRDefault="00197FA0">
      <w:pPr>
        <w:pStyle w:val="Corpotesto"/>
        <w:spacing w:before="2"/>
        <w:rPr>
          <w:rFonts w:asciiTheme="minorHAnsi" w:hAnsiTheme="minorHAnsi" w:cstheme="minorHAnsi"/>
        </w:rPr>
      </w:pPr>
      <w:r w:rsidRPr="00D2187D">
        <w:rPr>
          <w:rFonts w:asciiTheme="minorHAnsi" w:hAnsiTheme="minorHAnsi" w:cstheme="minorHAnsi"/>
          <w:noProof/>
          <w:lang w:eastAsia="it-IT"/>
        </w:rPr>
        <w:drawing>
          <wp:anchor distT="0" distB="0" distL="0" distR="0" simplePos="0" relativeHeight="251658752" behindDoc="0" locked="0" layoutInCell="1" allowOverlap="1" wp14:anchorId="1AAC2E31" wp14:editId="06834A26">
            <wp:simplePos x="0" y="0"/>
            <wp:positionH relativeFrom="page">
              <wp:posOffset>3150107</wp:posOffset>
            </wp:positionH>
            <wp:positionV relativeFrom="paragraph">
              <wp:posOffset>150429</wp:posOffset>
            </wp:positionV>
            <wp:extent cx="786521" cy="81724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786521" cy="817245"/>
                    </a:xfrm>
                    <a:prstGeom prst="rect">
                      <a:avLst/>
                    </a:prstGeom>
                  </pic:spPr>
                </pic:pic>
              </a:graphicData>
            </a:graphic>
          </wp:anchor>
        </w:drawing>
      </w:r>
    </w:p>
    <w:p w14:paraId="4B9AC9C1" w14:textId="77777777" w:rsidR="00456017" w:rsidRPr="00D2187D" w:rsidRDefault="00456017" w:rsidP="00D2187D">
      <w:pPr>
        <w:pStyle w:val="Titolo1"/>
        <w:spacing w:line="360" w:lineRule="auto"/>
        <w:ind w:left="0"/>
        <w:jc w:val="both"/>
        <w:rPr>
          <w:rFonts w:asciiTheme="minorHAnsi" w:hAnsiTheme="minorHAnsi" w:cstheme="minorHAnsi"/>
        </w:rPr>
      </w:pPr>
    </w:p>
    <w:p w14:paraId="6EC10040" w14:textId="77777777" w:rsidR="000D1587" w:rsidRPr="00B6207E" w:rsidRDefault="000D1587" w:rsidP="00B6207E">
      <w:pPr>
        <w:pStyle w:val="Titolo1"/>
        <w:spacing w:line="276" w:lineRule="auto"/>
        <w:jc w:val="both"/>
        <w:rPr>
          <w:rFonts w:ascii="Aptos" w:hAnsi="Aptos" w:cstheme="minorHAnsi"/>
        </w:rPr>
      </w:pPr>
    </w:p>
    <w:p w14:paraId="0D155D77" w14:textId="2221B951" w:rsidR="005316A8" w:rsidRPr="00F70A51" w:rsidRDefault="00A65BDB" w:rsidP="000F44CF">
      <w:pPr>
        <w:pStyle w:val="Titolo1"/>
        <w:spacing w:line="276" w:lineRule="auto"/>
        <w:ind w:left="0"/>
        <w:jc w:val="both"/>
        <w:rPr>
          <w:rFonts w:ascii="Aptos" w:hAnsi="Aptos" w:cstheme="minorHAnsi"/>
          <w:b w:val="0"/>
          <w:bCs w:val="0"/>
        </w:rPr>
      </w:pPr>
      <w:r w:rsidRPr="00B6207E">
        <w:rPr>
          <w:rFonts w:ascii="Aptos" w:hAnsi="Aptos" w:cstheme="minorHAnsi"/>
        </w:rPr>
        <w:t>TITOLO:</w:t>
      </w:r>
      <w:bookmarkStart w:id="1" w:name="_Hlk188869543"/>
      <w:r w:rsidRPr="00A65BDB">
        <w:rPr>
          <w:rFonts w:ascii="Aptos" w:hAnsi="Aptos" w:cstheme="minorHAnsi"/>
          <w:b w:val="0"/>
          <w:bCs w:val="0"/>
        </w:rPr>
        <w:t xml:space="preserve"> </w:t>
      </w:r>
      <w:r w:rsidR="00F70A51">
        <w:rPr>
          <w:rFonts w:ascii="Aptos" w:hAnsi="Aptos" w:cstheme="minorHAnsi"/>
          <w:b w:val="0"/>
          <w:bCs w:val="0"/>
        </w:rPr>
        <w:t xml:space="preserve"> </w:t>
      </w:r>
    </w:p>
    <w:bookmarkEnd w:id="1"/>
    <w:p w14:paraId="367CF2BC" w14:textId="540AF120" w:rsidR="00456017" w:rsidRDefault="008B4F96" w:rsidP="00B6207E">
      <w:pPr>
        <w:pStyle w:val="Titolo1"/>
        <w:spacing w:line="276" w:lineRule="auto"/>
        <w:ind w:left="0"/>
        <w:jc w:val="both"/>
        <w:rPr>
          <w:rFonts w:ascii="Abadi ExtraLight" w:hAnsi="Abadi ExtraLight" w:cstheme="minorHAnsi"/>
          <w:b w:val="0"/>
          <w:bCs w:val="0"/>
        </w:rPr>
      </w:pPr>
      <w:r w:rsidRPr="00282ABC">
        <w:rPr>
          <w:rFonts w:ascii="Abadi ExtraLight" w:hAnsi="Abadi ExtraLight" w:cstheme="minorHAnsi"/>
          <w:b w:val="0"/>
          <w:bCs w:val="0"/>
        </w:rPr>
        <w:t xml:space="preserve">La </w:t>
      </w:r>
      <w:proofErr w:type="gramStart"/>
      <w:r w:rsidRPr="00282ABC">
        <w:rPr>
          <w:rFonts w:ascii="Abadi ExtraLight" w:hAnsi="Abadi ExtraLight" w:cstheme="minorHAnsi"/>
          <w:b w:val="0"/>
          <w:bCs w:val="0"/>
        </w:rPr>
        <w:t>Corte Costituzionale</w:t>
      </w:r>
      <w:proofErr w:type="gramEnd"/>
      <w:r w:rsidR="003806AF" w:rsidRPr="00282ABC">
        <w:rPr>
          <w:rFonts w:ascii="Abadi ExtraLight" w:hAnsi="Abadi ExtraLight" w:cstheme="minorHAnsi"/>
          <w:b w:val="0"/>
          <w:bCs w:val="0"/>
        </w:rPr>
        <w:t xml:space="preserve"> conferma il divieto di </w:t>
      </w:r>
      <w:r w:rsidR="006F34FD" w:rsidRPr="00282ABC">
        <w:rPr>
          <w:rFonts w:ascii="Abadi ExtraLight" w:hAnsi="Abadi ExtraLight" w:cstheme="minorHAnsi"/>
          <w:b w:val="0"/>
          <w:bCs w:val="0"/>
        </w:rPr>
        <w:t>installare impianti fotovoltaici a terra nelle aree agricole</w:t>
      </w:r>
    </w:p>
    <w:p w14:paraId="6C345E4D" w14:textId="77777777" w:rsidR="00BC4DA6" w:rsidRDefault="00BC4DA6" w:rsidP="00B6207E">
      <w:pPr>
        <w:pStyle w:val="Titolo1"/>
        <w:spacing w:line="276" w:lineRule="auto"/>
        <w:ind w:left="0"/>
        <w:jc w:val="both"/>
        <w:rPr>
          <w:rFonts w:ascii="Abadi ExtraLight" w:hAnsi="Abadi ExtraLight" w:cstheme="minorHAnsi"/>
          <w:b w:val="0"/>
          <w:bCs w:val="0"/>
        </w:rPr>
      </w:pPr>
    </w:p>
    <w:p w14:paraId="547128F6" w14:textId="77777777" w:rsidR="00BC4DA6" w:rsidRPr="00282ABC" w:rsidRDefault="00BC4DA6" w:rsidP="00B6207E">
      <w:pPr>
        <w:pStyle w:val="Titolo1"/>
        <w:spacing w:line="276" w:lineRule="auto"/>
        <w:ind w:left="0"/>
        <w:jc w:val="both"/>
        <w:rPr>
          <w:rFonts w:ascii="Abadi ExtraLight" w:hAnsi="Abadi ExtraLight" w:cstheme="minorHAnsi"/>
          <w:b w:val="0"/>
          <w:bCs w:val="0"/>
        </w:rPr>
      </w:pPr>
    </w:p>
    <w:p w14:paraId="433734C8" w14:textId="77777777" w:rsidR="002A12A7" w:rsidRDefault="00197FA0" w:rsidP="00B6207E">
      <w:pPr>
        <w:pStyle w:val="Titolo1"/>
        <w:spacing w:line="276" w:lineRule="auto"/>
        <w:ind w:left="0"/>
        <w:jc w:val="both"/>
        <w:rPr>
          <w:rFonts w:ascii="Aptos" w:hAnsi="Aptos" w:cstheme="minorHAnsi"/>
        </w:rPr>
      </w:pPr>
      <w:r w:rsidRPr="00B6207E">
        <w:rPr>
          <w:rFonts w:ascii="Aptos" w:hAnsi="Aptos" w:cstheme="minorHAnsi"/>
        </w:rPr>
        <w:t>RIFERIMENTI</w:t>
      </w:r>
      <w:r w:rsidRPr="00B6207E">
        <w:rPr>
          <w:rFonts w:ascii="Aptos" w:hAnsi="Aptos" w:cstheme="minorHAnsi"/>
          <w:spacing w:val="-3"/>
        </w:rPr>
        <w:t xml:space="preserve"> </w:t>
      </w:r>
      <w:r w:rsidRPr="00B6207E">
        <w:rPr>
          <w:rFonts w:ascii="Aptos" w:hAnsi="Aptos" w:cstheme="minorHAnsi"/>
        </w:rPr>
        <w:t>NORMATIVI</w:t>
      </w:r>
      <w:r w:rsidR="00FD7E2A" w:rsidRPr="00B6207E">
        <w:rPr>
          <w:rFonts w:ascii="Aptos" w:hAnsi="Aptos" w:cstheme="minorHAnsi"/>
        </w:rPr>
        <w:t xml:space="preserve">: </w:t>
      </w:r>
    </w:p>
    <w:p w14:paraId="6A99EF41" w14:textId="09072E30" w:rsidR="007B6D00" w:rsidRPr="00282ABC" w:rsidRDefault="007B6D00" w:rsidP="00282ABC">
      <w:pPr>
        <w:pStyle w:val="Titolo1"/>
        <w:spacing w:line="360" w:lineRule="auto"/>
        <w:ind w:left="0"/>
        <w:rPr>
          <w:rFonts w:ascii="Abadi ExtraLight" w:hAnsi="Abadi ExtraLight" w:cstheme="minorHAnsi"/>
          <w:b w:val="0"/>
          <w:bCs w:val="0"/>
        </w:rPr>
      </w:pPr>
      <w:r w:rsidRPr="00282ABC">
        <w:rPr>
          <w:rFonts w:ascii="Abadi ExtraLight" w:hAnsi="Abadi ExtraLight" w:cstheme="minorHAnsi"/>
          <w:b w:val="0"/>
          <w:bCs w:val="0"/>
        </w:rPr>
        <w:t>Articoli 3, 9, 11 e 117 della Costituzione</w:t>
      </w:r>
    </w:p>
    <w:p w14:paraId="77C90B43" w14:textId="1B988C26" w:rsidR="00053A79" w:rsidRPr="00282ABC" w:rsidRDefault="007B6D00" w:rsidP="00282ABC">
      <w:pPr>
        <w:pStyle w:val="Titolo1"/>
        <w:spacing w:line="360" w:lineRule="auto"/>
        <w:ind w:left="0"/>
        <w:jc w:val="both"/>
        <w:rPr>
          <w:rFonts w:ascii="Abadi ExtraLight" w:hAnsi="Abadi ExtraLight" w:cstheme="minorHAnsi"/>
          <w:b w:val="0"/>
          <w:bCs w:val="0"/>
        </w:rPr>
      </w:pPr>
      <w:r w:rsidRPr="00282ABC">
        <w:rPr>
          <w:rFonts w:ascii="Abadi ExtraLight" w:hAnsi="Abadi ExtraLight" w:cstheme="minorHAnsi"/>
          <w:b w:val="0"/>
          <w:bCs w:val="0"/>
        </w:rPr>
        <w:t>A</w:t>
      </w:r>
      <w:r w:rsidR="004B2AE7" w:rsidRPr="00282ABC">
        <w:rPr>
          <w:rFonts w:ascii="Abadi ExtraLight" w:hAnsi="Abadi ExtraLight" w:cstheme="minorHAnsi"/>
          <w:b w:val="0"/>
          <w:bCs w:val="0"/>
        </w:rPr>
        <w:t>rticolo 5, commi 1 e 2, del decreto-legge n. 63 del 2024</w:t>
      </w:r>
    </w:p>
    <w:p w14:paraId="55BCCD51" w14:textId="6950BF8D" w:rsidR="004B2AE7" w:rsidRPr="00282ABC" w:rsidRDefault="007B6D00" w:rsidP="00282ABC">
      <w:pPr>
        <w:pStyle w:val="Titolo1"/>
        <w:spacing w:line="360" w:lineRule="auto"/>
        <w:ind w:left="0"/>
        <w:jc w:val="both"/>
        <w:rPr>
          <w:rFonts w:ascii="Abadi ExtraLight" w:hAnsi="Abadi ExtraLight" w:cstheme="minorHAnsi"/>
          <w:b w:val="0"/>
          <w:bCs w:val="0"/>
        </w:rPr>
      </w:pPr>
      <w:r w:rsidRPr="00282ABC">
        <w:rPr>
          <w:rFonts w:ascii="Abadi ExtraLight" w:hAnsi="Abadi ExtraLight" w:cstheme="minorHAnsi"/>
          <w:b w:val="0"/>
          <w:bCs w:val="0"/>
        </w:rPr>
        <w:t>A</w:t>
      </w:r>
      <w:r w:rsidR="004B2AE7" w:rsidRPr="00282ABC">
        <w:rPr>
          <w:rFonts w:ascii="Abadi ExtraLight" w:hAnsi="Abadi ExtraLight" w:cstheme="minorHAnsi"/>
          <w:b w:val="0"/>
          <w:bCs w:val="0"/>
        </w:rPr>
        <w:t>rticolo 2, comma 2, primo periodo, del decreto legislativo n. 190 del 2024</w:t>
      </w:r>
    </w:p>
    <w:p w14:paraId="31890463" w14:textId="535F7776" w:rsidR="007B6D00" w:rsidRPr="00282ABC" w:rsidRDefault="007B6D00" w:rsidP="00282ABC">
      <w:pPr>
        <w:pStyle w:val="Titolo1"/>
        <w:spacing w:line="360" w:lineRule="auto"/>
        <w:ind w:left="0"/>
        <w:jc w:val="both"/>
        <w:rPr>
          <w:rFonts w:ascii="Abadi ExtraLight" w:hAnsi="Abadi ExtraLight" w:cstheme="minorHAnsi"/>
          <w:b w:val="0"/>
          <w:bCs w:val="0"/>
        </w:rPr>
      </w:pPr>
      <w:r w:rsidRPr="00282ABC">
        <w:rPr>
          <w:rFonts w:ascii="Abadi ExtraLight" w:hAnsi="Abadi ExtraLight" w:cstheme="minorHAnsi"/>
          <w:b w:val="0"/>
          <w:bCs w:val="0"/>
        </w:rPr>
        <w:t>Articolo 11-bis del decreto legislativo n. 190 del 2024</w:t>
      </w:r>
    </w:p>
    <w:p w14:paraId="49F94EB4" w14:textId="6994A04F" w:rsidR="00AF1C40" w:rsidRPr="00282ABC" w:rsidRDefault="007B6D00" w:rsidP="00282ABC">
      <w:pPr>
        <w:pStyle w:val="Titolo1"/>
        <w:spacing w:line="360" w:lineRule="auto"/>
        <w:ind w:left="0"/>
        <w:jc w:val="both"/>
        <w:rPr>
          <w:rFonts w:ascii="Abadi ExtraLight" w:hAnsi="Abadi ExtraLight" w:cstheme="minorHAnsi"/>
          <w:b w:val="0"/>
          <w:bCs w:val="0"/>
        </w:rPr>
      </w:pPr>
      <w:r w:rsidRPr="00282ABC">
        <w:rPr>
          <w:rFonts w:ascii="Abadi ExtraLight" w:hAnsi="Abadi ExtraLight" w:cstheme="minorHAnsi"/>
          <w:b w:val="0"/>
          <w:bCs w:val="0"/>
        </w:rPr>
        <w:t>D</w:t>
      </w:r>
      <w:r w:rsidR="00DF6319" w:rsidRPr="00282ABC">
        <w:rPr>
          <w:rFonts w:ascii="Abadi ExtraLight" w:hAnsi="Abadi ExtraLight" w:cstheme="minorHAnsi"/>
          <w:b w:val="0"/>
          <w:bCs w:val="0"/>
        </w:rPr>
        <w:t>ecreto-legge n. 175 del 2025</w:t>
      </w:r>
    </w:p>
    <w:p w14:paraId="6C60CD35" w14:textId="20246C1D" w:rsidR="007B6D00" w:rsidRPr="00282ABC" w:rsidRDefault="007B6D00" w:rsidP="00282ABC">
      <w:pPr>
        <w:pStyle w:val="Titolo1"/>
        <w:spacing w:line="360" w:lineRule="auto"/>
        <w:ind w:left="0"/>
        <w:jc w:val="both"/>
        <w:rPr>
          <w:rFonts w:ascii="Abadi ExtraLight" w:hAnsi="Abadi ExtraLight" w:cstheme="minorHAnsi"/>
          <w:b w:val="0"/>
          <w:bCs w:val="0"/>
        </w:rPr>
      </w:pPr>
      <w:r w:rsidRPr="00282ABC">
        <w:rPr>
          <w:rFonts w:ascii="Abadi ExtraLight" w:hAnsi="Abadi ExtraLight" w:cstheme="minorHAnsi"/>
          <w:b w:val="0"/>
          <w:bCs w:val="0"/>
        </w:rPr>
        <w:t>D</w:t>
      </w:r>
      <w:r w:rsidR="00DF6319" w:rsidRPr="00282ABC">
        <w:rPr>
          <w:rFonts w:ascii="Abadi ExtraLight" w:hAnsi="Abadi ExtraLight" w:cstheme="minorHAnsi"/>
          <w:b w:val="0"/>
          <w:bCs w:val="0"/>
        </w:rPr>
        <w:t>ecreto legislativo n. 190 del 2024</w:t>
      </w:r>
      <w:r w:rsidR="00E44170" w:rsidRPr="00282ABC">
        <w:rPr>
          <w:rFonts w:ascii="Abadi ExtraLight" w:hAnsi="Abadi ExtraLight" w:cstheme="minorHAnsi"/>
          <w:b w:val="0"/>
          <w:bCs w:val="0"/>
        </w:rPr>
        <w:t xml:space="preserve"> </w:t>
      </w:r>
    </w:p>
    <w:p w14:paraId="3A3CC3C6" w14:textId="2E4F9643" w:rsidR="00DF6319" w:rsidRPr="00282ABC" w:rsidRDefault="007B6D00" w:rsidP="00282ABC">
      <w:pPr>
        <w:pStyle w:val="Titolo1"/>
        <w:spacing w:line="360" w:lineRule="auto"/>
        <w:ind w:left="0"/>
        <w:jc w:val="both"/>
        <w:rPr>
          <w:rFonts w:ascii="Abadi ExtraLight" w:hAnsi="Abadi ExtraLight" w:cstheme="minorHAnsi"/>
          <w:b w:val="0"/>
          <w:bCs w:val="0"/>
        </w:rPr>
      </w:pPr>
      <w:r w:rsidRPr="00282ABC">
        <w:rPr>
          <w:rFonts w:ascii="Abadi ExtraLight" w:hAnsi="Abadi ExtraLight" w:cstheme="minorHAnsi"/>
          <w:b w:val="0"/>
          <w:bCs w:val="0"/>
        </w:rPr>
        <w:t>D</w:t>
      </w:r>
      <w:r w:rsidR="00E44170" w:rsidRPr="00282ABC">
        <w:rPr>
          <w:rFonts w:ascii="Abadi ExtraLight" w:hAnsi="Abadi ExtraLight" w:cstheme="minorHAnsi"/>
          <w:b w:val="0"/>
          <w:bCs w:val="0"/>
        </w:rPr>
        <w:t>ecreto ministeriale del 21 giugno 2024</w:t>
      </w:r>
    </w:p>
    <w:p w14:paraId="1125697B" w14:textId="77777777" w:rsidR="00DF6319" w:rsidRDefault="00DF6319" w:rsidP="00B6207E">
      <w:pPr>
        <w:pStyle w:val="Titolo1"/>
        <w:spacing w:line="276" w:lineRule="auto"/>
        <w:ind w:left="0"/>
        <w:jc w:val="both"/>
        <w:rPr>
          <w:rFonts w:ascii="Aptos" w:hAnsi="Aptos" w:cstheme="minorHAnsi"/>
        </w:rPr>
      </w:pPr>
    </w:p>
    <w:p w14:paraId="6C065B99" w14:textId="77777777" w:rsidR="00BC4DA6" w:rsidRDefault="00BC4DA6" w:rsidP="00B6207E">
      <w:pPr>
        <w:pStyle w:val="Titolo1"/>
        <w:spacing w:line="276" w:lineRule="auto"/>
        <w:ind w:left="0"/>
        <w:jc w:val="both"/>
        <w:rPr>
          <w:rFonts w:ascii="Aptos" w:hAnsi="Aptos" w:cstheme="minorHAnsi"/>
        </w:rPr>
      </w:pPr>
    </w:p>
    <w:p w14:paraId="61F8DB20" w14:textId="5AD8CB3A" w:rsidR="0080425D" w:rsidRDefault="00197FA0" w:rsidP="00B6207E">
      <w:pPr>
        <w:pStyle w:val="Titolo1"/>
        <w:spacing w:line="276" w:lineRule="auto"/>
        <w:ind w:left="0"/>
        <w:jc w:val="both"/>
        <w:rPr>
          <w:rFonts w:ascii="Aptos" w:hAnsi="Aptos" w:cstheme="minorHAnsi"/>
        </w:rPr>
      </w:pPr>
      <w:r w:rsidRPr="00B6207E">
        <w:rPr>
          <w:rFonts w:ascii="Aptos" w:hAnsi="Aptos" w:cstheme="minorHAnsi"/>
        </w:rPr>
        <w:t>IN</w:t>
      </w:r>
      <w:r w:rsidRPr="00B6207E">
        <w:rPr>
          <w:rFonts w:ascii="Aptos" w:hAnsi="Aptos" w:cstheme="minorHAnsi"/>
          <w:spacing w:val="2"/>
        </w:rPr>
        <w:t xml:space="preserve"> </w:t>
      </w:r>
      <w:r w:rsidRPr="00B6207E">
        <w:rPr>
          <w:rFonts w:ascii="Aptos" w:hAnsi="Aptos" w:cstheme="minorHAnsi"/>
        </w:rPr>
        <w:t>SINTESI</w:t>
      </w:r>
      <w:r w:rsidR="00D45779" w:rsidRPr="00B6207E">
        <w:rPr>
          <w:rFonts w:ascii="Aptos" w:hAnsi="Aptos" w:cstheme="minorHAnsi"/>
        </w:rPr>
        <w:t>:</w:t>
      </w:r>
      <w:r w:rsidR="001559DB" w:rsidRPr="00B6207E">
        <w:rPr>
          <w:rFonts w:ascii="Aptos" w:hAnsi="Aptos" w:cstheme="minorHAnsi"/>
        </w:rPr>
        <w:t xml:space="preserve"> </w:t>
      </w:r>
    </w:p>
    <w:p w14:paraId="31685CE4" w14:textId="0C0C532B" w:rsidR="00FD6B63" w:rsidRPr="00282ABC" w:rsidRDefault="00FD6B63" w:rsidP="00282ABC">
      <w:pPr>
        <w:pStyle w:val="Titolo1"/>
        <w:spacing w:line="360" w:lineRule="auto"/>
        <w:ind w:left="0"/>
        <w:jc w:val="both"/>
        <w:rPr>
          <w:rFonts w:ascii="Abadi ExtraLight" w:hAnsi="Abadi ExtraLight" w:cstheme="minorHAnsi"/>
          <w:b w:val="0"/>
          <w:bCs w:val="0"/>
        </w:rPr>
      </w:pPr>
      <w:r w:rsidRPr="00282ABC">
        <w:rPr>
          <w:rFonts w:ascii="Abadi ExtraLight" w:hAnsi="Abadi ExtraLight" w:cstheme="minorHAnsi"/>
          <w:b w:val="0"/>
          <w:bCs w:val="0"/>
        </w:rPr>
        <w:t>La sentenza n. 127/2026 della Corte costituzionale chiarisce l’ambito di applicazione del divieto di installazione di impianti fotovoltaici nelle aree classificate a destinazione agricola, confermandone la legittimità costituzionale. La Corte precisa che il divieto riguarda esclusivamente gli impianti con moduli collocati a terra incompatibili con la funzione agricola del suolo e non preclude lo sviluppo delle fonti rinnovabili attraverso soluzioni agrivoltaiche idonee a garantire la continuità delle attività agricole e pastorali. La decisione conferma, inoltre, la legittimità del riferimento alla classificazione urbanistica dei terreni quale criterio per l’applicazione della disciplina, indipendentemente dal loro utilizzo agricolo effettivo, ribadendo che la transizione energetica deve realizzarsi mediante un equilibrato bilanciamento tra la diffusione delle energie rinnovabili e la tutela del suolo agricolo, del paesaggio e della biodiversità. La sentenza fornisce, pertanto, importanti criteri interpretativi per l’applicazione della disciplina vigente da parte delle amministrazioni e degli operatori del settore.</w:t>
      </w:r>
    </w:p>
    <w:p w14:paraId="10CC7BF7" w14:textId="77777777" w:rsidR="00E03084" w:rsidRPr="00282ABC" w:rsidRDefault="00E03084" w:rsidP="00B6207E">
      <w:pPr>
        <w:pStyle w:val="Titolo1"/>
        <w:spacing w:line="276" w:lineRule="auto"/>
        <w:ind w:left="0"/>
        <w:jc w:val="both"/>
        <w:rPr>
          <w:rFonts w:ascii="Abadi ExtraLight" w:hAnsi="Abadi ExtraLight" w:cstheme="minorHAnsi"/>
        </w:rPr>
      </w:pPr>
    </w:p>
    <w:p w14:paraId="2DE38A0E" w14:textId="77777777" w:rsidR="00456017" w:rsidRDefault="00456017" w:rsidP="00B6207E">
      <w:pPr>
        <w:pStyle w:val="Titolo1"/>
        <w:spacing w:line="276" w:lineRule="auto"/>
        <w:ind w:left="0"/>
        <w:jc w:val="both"/>
        <w:rPr>
          <w:rFonts w:ascii="Aptos" w:hAnsi="Aptos" w:cstheme="minorHAnsi"/>
        </w:rPr>
      </w:pPr>
    </w:p>
    <w:p w14:paraId="0EB53F31" w14:textId="70C3C2E2" w:rsidR="00835A58" w:rsidRPr="00A07DA2" w:rsidRDefault="00197FA0" w:rsidP="00A07DA2">
      <w:pPr>
        <w:pStyle w:val="Titolo1"/>
        <w:spacing w:line="276" w:lineRule="auto"/>
        <w:jc w:val="both"/>
        <w:rPr>
          <w:rFonts w:ascii="Aptos" w:hAnsi="Aptos" w:cstheme="minorHAnsi"/>
          <w:color w:val="333333"/>
          <w:shd w:val="clear" w:color="auto" w:fill="FFFFFF"/>
        </w:rPr>
      </w:pPr>
      <w:r w:rsidRPr="00B6207E">
        <w:rPr>
          <w:rFonts w:ascii="Aptos" w:hAnsi="Aptos" w:cstheme="minorHAnsi"/>
        </w:rPr>
        <w:t>ALLEGATI</w:t>
      </w:r>
      <w:r w:rsidR="00686DDE" w:rsidRPr="00B6207E">
        <w:rPr>
          <w:rFonts w:ascii="Aptos" w:hAnsi="Aptos" w:cstheme="minorHAnsi"/>
        </w:rPr>
        <w:t>:</w:t>
      </w:r>
      <w:r w:rsidR="001559DB" w:rsidRPr="00B6207E">
        <w:rPr>
          <w:rFonts w:ascii="Aptos" w:hAnsi="Aptos" w:cstheme="minorHAnsi"/>
          <w:b w:val="0"/>
          <w:bCs w:val="0"/>
          <w:color w:val="333333"/>
          <w:shd w:val="clear" w:color="auto" w:fill="FFFFFF"/>
        </w:rPr>
        <w:t xml:space="preserve"> </w:t>
      </w:r>
      <w:r w:rsidR="005F36A9">
        <w:rPr>
          <w:rFonts w:ascii="Aptos" w:hAnsi="Aptos" w:cstheme="minorHAnsi"/>
          <w:color w:val="333333"/>
          <w:shd w:val="clear" w:color="auto" w:fill="FFFFFF"/>
        </w:rPr>
        <w:t xml:space="preserve"> </w:t>
      </w:r>
    </w:p>
    <w:p w14:paraId="72CE9E01" w14:textId="79706047" w:rsidR="003A3EC6" w:rsidRPr="00282ABC" w:rsidRDefault="003263B4" w:rsidP="00B6207E">
      <w:pPr>
        <w:spacing w:line="276" w:lineRule="auto"/>
        <w:jc w:val="both"/>
        <w:rPr>
          <w:rFonts w:ascii="Abadi ExtraLight" w:hAnsi="Abadi ExtraLight" w:cstheme="minorHAnsi"/>
        </w:rPr>
        <w:sectPr w:rsidR="003A3EC6" w:rsidRPr="00282ABC" w:rsidSect="00C8507F">
          <w:headerReference w:type="even" r:id="rId13"/>
          <w:headerReference w:type="default" r:id="rId14"/>
          <w:footerReference w:type="even" r:id="rId15"/>
          <w:footerReference w:type="default" r:id="rId16"/>
          <w:headerReference w:type="first" r:id="rId17"/>
          <w:footerReference w:type="first" r:id="rId18"/>
          <w:type w:val="continuous"/>
          <w:pgSz w:w="11910" w:h="16840"/>
          <w:pgMar w:top="560" w:right="1020" w:bottom="280" w:left="8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r>
        <w:rPr>
          <w:rFonts w:ascii="Aptos" w:hAnsi="Aptos" w:cstheme="minorHAnsi"/>
        </w:rPr>
        <w:t xml:space="preserve">  </w:t>
      </w:r>
      <w:r w:rsidR="00A07DA2" w:rsidRPr="00282ABC">
        <w:rPr>
          <w:rFonts w:ascii="Abadi ExtraLight" w:hAnsi="Abadi ExtraLight" w:cstheme="minorHAnsi"/>
        </w:rPr>
        <w:t>Sentenza n. 127/2026 del 16 luglio 2026</w:t>
      </w:r>
    </w:p>
    <w:p w14:paraId="7B907569" w14:textId="77777777" w:rsidR="00835A58" w:rsidRPr="00B6207E" w:rsidRDefault="00835A58" w:rsidP="00B6207E">
      <w:pPr>
        <w:pStyle w:val="Corpotesto"/>
        <w:spacing w:before="4" w:line="276" w:lineRule="auto"/>
        <w:jc w:val="both"/>
        <w:rPr>
          <w:rFonts w:ascii="Aptos" w:hAnsi="Aptos" w:cstheme="minorHAnsi"/>
        </w:rPr>
      </w:pPr>
    </w:p>
    <w:p w14:paraId="2C50E753" w14:textId="75C6EA0F" w:rsidR="00835A58" w:rsidRPr="00B6207E" w:rsidRDefault="00103476" w:rsidP="00B6207E">
      <w:pPr>
        <w:pStyle w:val="Corpotesto"/>
        <w:spacing w:line="276" w:lineRule="auto"/>
        <w:ind w:left="-28"/>
        <w:jc w:val="both"/>
        <w:rPr>
          <w:rFonts w:ascii="Aptos" w:hAnsi="Aptos" w:cstheme="minorHAnsi"/>
        </w:rPr>
      </w:pPr>
      <w:r w:rsidRPr="00B6207E">
        <w:rPr>
          <w:rFonts w:ascii="Aptos" w:hAnsi="Aptos" w:cstheme="minorHAnsi"/>
          <w:noProof/>
          <w:lang w:eastAsia="it-IT"/>
        </w:rPr>
        <mc:AlternateContent>
          <mc:Choice Requires="wpg">
            <w:drawing>
              <wp:inline distT="0" distB="0" distL="0" distR="0" wp14:anchorId="75055A5F" wp14:editId="03F8AB0E">
                <wp:extent cx="6300470" cy="26035"/>
                <wp:effectExtent l="0" t="0" r="0" b="0"/>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6035"/>
                          <a:chOff x="0" y="0"/>
                          <a:chExt cx="9922" cy="41"/>
                        </a:xfrm>
                      </wpg:grpSpPr>
                      <wps:wsp>
                        <wps:cNvPr id="9" name="Rectangle 5"/>
                        <wps:cNvSpPr>
                          <a:spLocks noChangeArrowheads="1"/>
                        </wps:cNvSpPr>
                        <wps:spPr bwMode="auto">
                          <a:xfrm>
                            <a:off x="0" y="0"/>
                            <a:ext cx="9922" cy="41"/>
                          </a:xfrm>
                          <a:prstGeom prst="rect">
                            <a:avLst/>
                          </a:prstGeom>
                          <a:solidFill>
                            <a:srgbClr val="008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7CE14798" id="Group 4" o:spid="_x0000_s1026" style="width:496.1pt;height:2.05pt;mso-position-horizontal-relative:char;mso-position-vertical-relative:line" coordsize="99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jQESAIAAAUFAAAOAAAAZHJzL2Uyb0RvYy54bWykVNtu2zAMfR+wfxD0vthx00uMOkWRrMWA&#10;bivW7QMUWb5gtqhRSpzu60tJbpq22Ev2IogiRZ1zSOryatd3bKvQtqALPp2knCktoWx1XfBfP28+&#10;XXBmndCl6ECrgj8qy68WHz9cDiZXGTTQlQoZJdE2H0zBG+dMniRWNqoXdgJGaXJWgL1wZGKdlCgG&#10;yt53SZamZ8kAWBoEqayl01V08kXIX1VKuu9VZZVjXcEJmwsrhnXt12RxKfIahWlaOcIQR6DoRavp&#10;0X2qlXCCbbB9l6pvJYKFyk0k9AlUVStV4EBspukbNrcIGxO41PlQm71MJO0bnY5OK79tb9E8mHuM&#10;6Gl7B/K3JV2SwdT5od/bdQxm6+ErlFRPsXEQiO8q7H0KosR2Qd/Hvb5q55ikw7OTNJ2dUxkk+bKz&#10;9OQ06i8bKtK7W7L5PN6bz7MsXppN/Y1E5PG5AHGE5EtOPWRfZLL/J9NDI4wK6lsvwz2ytiz4nDMt&#10;emL+g3pL6LpTLLDwj1PUs5I2ysg0LBuKUteIMDRKlAQqcnh1wRuWinCcrv/UR+QGrbtV0DO/KTgS&#10;6FAusb2zLkr5HOKrZ6Fry5u264KB9XrZIdsKPzzpxfxkNar/KqzTPliDvxYz+hMqTaQU67KG8pHo&#10;IcQJpB+DNg3gX84Gmr6C2z8bgYqz7osmiebT2cyPazBmp+cZGXjoWR96hJaUquCOs7hdujjiG4Nt&#10;3dBL00BawzW1a9UG4h5fRDWCpdYZm55mLTTZ+C/4YT60Q9TL77V4AgAA//8DAFBLAwQUAAYACAAA&#10;ACEA52xQLt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xyDyT/9nzbwAAAP//AwBQSwECLQAUAAYACAAAACEAtoM4kv4AAADhAQAAEwAA&#10;AAAAAAAAAAAAAAAAAAAAW0NvbnRlbnRfVHlwZXNdLnhtbFBLAQItABQABgAIAAAAIQA4/SH/1gAA&#10;AJQBAAALAAAAAAAAAAAAAAAAAC8BAABfcmVscy8ucmVsc1BLAQItABQABgAIAAAAIQD0TjQESAIA&#10;AAUFAAAOAAAAAAAAAAAAAAAAAC4CAABkcnMvZTJvRG9jLnhtbFBLAQItABQABgAIAAAAIQDnbFAu&#10;3AAAAAMBAAAPAAAAAAAAAAAAAAAAAKIEAABkcnMvZG93bnJldi54bWxQSwUGAAAAAAQABADzAAAA&#10;qwUAAAAA&#10;">
                <v:rect id="Rectangle 5" o:spid="_x0000_s1027" style="position:absolute;width:99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8h3xAAAANoAAAAPAAAAZHJzL2Rvd25yZXYueG1sRI9Ba8JA&#10;FITvgv9heUIvUjcWqRpdRaQFoSejCL09ss8kmH2bZlc39dd3hYLHYWa+YZbrztTiRq2rLCsYjxIQ&#10;xLnVFRcKjofP1xkI55E11pZJwS85WK/6vSWm2gbe0y3zhYgQdikqKL1vUildXpJBN7INcfTOtjXo&#10;o2wLqVsMEW5q+ZYk79JgxXGhxIa2JeWX7GoUHML2/nX/GYehm3zPrtNT+MizjVIvg26zAOGp88/w&#10;f3unFczhcSXeALn6AwAA//8DAFBLAQItABQABgAIAAAAIQDb4fbL7gAAAIUBAAATAAAAAAAAAAAA&#10;AAAAAAAAAABbQ29udGVudF9UeXBlc10ueG1sUEsBAi0AFAAGAAgAAAAhAFr0LFu/AAAAFQEAAAsA&#10;AAAAAAAAAAAAAAAAHwEAAF9yZWxzLy5yZWxzUEsBAi0AFAAGAAgAAAAhAExzyHfEAAAA2gAAAA8A&#10;AAAAAAAAAAAAAAAABwIAAGRycy9kb3ducmV2LnhtbFBLBQYAAAAAAwADALcAAAD4AgAAAAA=&#10;" fillcolor="#00893d" stroked="f"/>
                <w10:anchorlock/>
              </v:group>
            </w:pict>
          </mc:Fallback>
        </mc:AlternateContent>
      </w:r>
    </w:p>
    <w:p w14:paraId="63B5D29C" w14:textId="3BB687B7" w:rsidR="00F2495D" w:rsidRDefault="00CD61A2" w:rsidP="00CD61A2">
      <w:pPr>
        <w:ind w:left="3600" w:right="109" w:firstLine="720"/>
        <w:jc w:val="both"/>
        <w:rPr>
          <w:rFonts w:ascii="Aptos" w:hAnsi="Aptos" w:cstheme="minorHAnsi"/>
          <w:b/>
          <w:i/>
          <w:color w:val="007736"/>
          <w:sz w:val="20"/>
          <w:szCs w:val="20"/>
        </w:rPr>
      </w:pPr>
      <w:r>
        <w:rPr>
          <w:rFonts w:ascii="Aptos" w:hAnsi="Aptos" w:cstheme="minorHAnsi"/>
          <w:b/>
          <w:i/>
          <w:color w:val="007736"/>
          <w:sz w:val="20"/>
          <w:szCs w:val="20"/>
        </w:rPr>
        <w:t xml:space="preserve">  </w:t>
      </w:r>
      <w:r w:rsidR="00F2495D" w:rsidRPr="00B6207E">
        <w:rPr>
          <w:rFonts w:ascii="Aptos" w:hAnsi="Aptos" w:cstheme="minorHAnsi"/>
          <w:b/>
          <w:i/>
          <w:color w:val="007736"/>
          <w:sz w:val="20"/>
          <w:szCs w:val="20"/>
        </w:rPr>
        <w:t xml:space="preserve">Direzione </w:t>
      </w:r>
      <w:r w:rsidR="00F2495D" w:rsidRPr="00485B9B">
        <w:rPr>
          <w:rFonts w:ascii="Aptos" w:hAnsi="Aptos" w:cstheme="minorHAnsi"/>
          <w:b/>
          <w:i/>
          <w:color w:val="007736"/>
          <w:sz w:val="20"/>
          <w:szCs w:val="20"/>
        </w:rPr>
        <w:t>politiche del lavoro, welfare e sicurezza sul lavoro</w:t>
      </w:r>
    </w:p>
    <w:p w14:paraId="515D8855" w14:textId="2E705AD9" w:rsidR="00F2495D" w:rsidRDefault="00CD61A2" w:rsidP="00CD61A2">
      <w:pPr>
        <w:ind w:left="7200" w:right="109" w:firstLine="720"/>
        <w:jc w:val="both"/>
        <w:rPr>
          <w:rFonts w:ascii="Aptos" w:hAnsi="Aptos" w:cstheme="minorHAnsi"/>
          <w:b/>
          <w:i/>
          <w:color w:val="007736"/>
          <w:sz w:val="20"/>
          <w:szCs w:val="20"/>
        </w:rPr>
      </w:pPr>
      <w:r>
        <w:rPr>
          <w:rFonts w:ascii="Aptos" w:hAnsi="Aptos" w:cstheme="minorHAnsi"/>
          <w:b/>
          <w:i/>
          <w:color w:val="007736"/>
          <w:sz w:val="20"/>
          <w:szCs w:val="20"/>
        </w:rPr>
        <w:t xml:space="preserve">    </w:t>
      </w:r>
      <w:r w:rsidR="00F2495D">
        <w:rPr>
          <w:rFonts w:ascii="Aptos" w:hAnsi="Aptos" w:cstheme="minorHAnsi"/>
          <w:b/>
          <w:i/>
          <w:color w:val="007736"/>
          <w:sz w:val="20"/>
          <w:szCs w:val="20"/>
        </w:rPr>
        <w:t>Ufficio Affari Legali</w:t>
      </w:r>
      <w:r w:rsidR="00F2495D" w:rsidRPr="00485B9B">
        <w:rPr>
          <w:rFonts w:ascii="Aptos" w:hAnsi="Aptos" w:cstheme="minorHAnsi"/>
          <w:b/>
          <w:i/>
          <w:color w:val="007736"/>
          <w:sz w:val="20"/>
          <w:szCs w:val="20"/>
        </w:rPr>
        <w:t xml:space="preserve"> </w:t>
      </w:r>
    </w:p>
    <w:p w14:paraId="0C4400AB" w14:textId="4DA13E00" w:rsidR="00F2495D" w:rsidRPr="00B6207E" w:rsidRDefault="00F2495D" w:rsidP="00F2495D">
      <w:pPr>
        <w:tabs>
          <w:tab w:val="left" w:pos="5731"/>
        </w:tabs>
        <w:ind w:right="107"/>
        <w:jc w:val="both"/>
        <w:rPr>
          <w:rFonts w:ascii="Aptos" w:hAnsi="Aptos" w:cstheme="minorHAnsi"/>
          <w:i/>
          <w:sz w:val="20"/>
          <w:szCs w:val="20"/>
        </w:rPr>
      </w:pPr>
      <w:r>
        <w:rPr>
          <w:rFonts w:ascii="Aptos" w:hAnsi="Aptos" w:cstheme="minorHAnsi"/>
          <w:b/>
          <w:i/>
          <w:sz w:val="20"/>
          <w:szCs w:val="20"/>
        </w:rPr>
        <w:t xml:space="preserve"> </w:t>
      </w:r>
      <w:r w:rsidR="00BC4DA6">
        <w:rPr>
          <w:rFonts w:ascii="Aptos" w:hAnsi="Aptos" w:cstheme="minorHAnsi"/>
          <w:b/>
          <w:i/>
          <w:sz w:val="20"/>
          <w:szCs w:val="20"/>
        </w:rPr>
        <w:t>GC.cl</w:t>
      </w:r>
      <w:r>
        <w:rPr>
          <w:rFonts w:ascii="Aptos" w:hAnsi="Aptos" w:cstheme="minorHAnsi"/>
          <w:b/>
          <w:i/>
          <w:sz w:val="20"/>
          <w:szCs w:val="20"/>
        </w:rPr>
        <w:t xml:space="preserve"> </w:t>
      </w:r>
      <w:r w:rsidRPr="00B6207E">
        <w:rPr>
          <w:rFonts w:ascii="Aptos" w:hAnsi="Aptos" w:cstheme="minorHAnsi"/>
          <w:b/>
          <w:i/>
          <w:sz w:val="20"/>
          <w:szCs w:val="20"/>
        </w:rPr>
        <w:tab/>
      </w:r>
      <w:r w:rsidR="00CD61A2">
        <w:rPr>
          <w:rFonts w:ascii="Aptos" w:hAnsi="Aptos" w:cstheme="minorHAnsi"/>
          <w:b/>
          <w:i/>
          <w:sz w:val="20"/>
          <w:szCs w:val="20"/>
        </w:rPr>
        <w:t xml:space="preserve">   </w:t>
      </w:r>
      <w:r w:rsidRPr="00B6207E">
        <w:rPr>
          <w:rFonts w:ascii="Aptos" w:hAnsi="Aptos" w:cstheme="minorHAnsi"/>
          <w:i/>
          <w:sz w:val="20"/>
          <w:szCs w:val="20"/>
        </w:rPr>
        <w:t>Corso</w:t>
      </w:r>
      <w:r w:rsidRPr="00B6207E">
        <w:rPr>
          <w:rFonts w:ascii="Aptos" w:hAnsi="Aptos" w:cstheme="minorHAnsi"/>
          <w:i/>
          <w:spacing w:val="-1"/>
          <w:sz w:val="20"/>
          <w:szCs w:val="20"/>
        </w:rPr>
        <w:t xml:space="preserve"> </w:t>
      </w:r>
      <w:r w:rsidRPr="00B6207E">
        <w:rPr>
          <w:rFonts w:ascii="Aptos" w:hAnsi="Aptos" w:cstheme="minorHAnsi"/>
          <w:i/>
          <w:sz w:val="20"/>
          <w:szCs w:val="20"/>
        </w:rPr>
        <w:t>Vittorio</w:t>
      </w:r>
      <w:r w:rsidRPr="00B6207E">
        <w:rPr>
          <w:rFonts w:ascii="Aptos" w:hAnsi="Aptos" w:cstheme="minorHAnsi"/>
          <w:i/>
          <w:spacing w:val="-2"/>
          <w:sz w:val="20"/>
          <w:szCs w:val="20"/>
        </w:rPr>
        <w:t xml:space="preserve"> </w:t>
      </w:r>
      <w:r w:rsidRPr="00B6207E">
        <w:rPr>
          <w:rFonts w:ascii="Aptos" w:hAnsi="Aptos" w:cstheme="minorHAnsi"/>
          <w:i/>
          <w:sz w:val="20"/>
          <w:szCs w:val="20"/>
        </w:rPr>
        <w:t>Emanuele II,</w:t>
      </w:r>
      <w:r w:rsidRPr="00B6207E">
        <w:rPr>
          <w:rFonts w:ascii="Aptos" w:hAnsi="Aptos" w:cstheme="minorHAnsi"/>
          <w:i/>
          <w:spacing w:val="-6"/>
          <w:sz w:val="20"/>
          <w:szCs w:val="20"/>
        </w:rPr>
        <w:t xml:space="preserve"> </w:t>
      </w:r>
      <w:r w:rsidRPr="00B6207E">
        <w:rPr>
          <w:rFonts w:ascii="Aptos" w:hAnsi="Aptos" w:cstheme="minorHAnsi"/>
          <w:i/>
          <w:sz w:val="20"/>
          <w:szCs w:val="20"/>
        </w:rPr>
        <w:t>101</w:t>
      </w:r>
      <w:r w:rsidRPr="00B6207E">
        <w:rPr>
          <w:rFonts w:ascii="Aptos" w:hAnsi="Aptos" w:cstheme="minorHAnsi"/>
          <w:i/>
          <w:spacing w:val="3"/>
          <w:sz w:val="20"/>
          <w:szCs w:val="20"/>
        </w:rPr>
        <w:t xml:space="preserve"> </w:t>
      </w:r>
      <w:r w:rsidRPr="00B6207E">
        <w:rPr>
          <w:rFonts w:ascii="Aptos" w:hAnsi="Aptos" w:cstheme="minorHAnsi"/>
          <w:i/>
          <w:sz w:val="20"/>
          <w:szCs w:val="20"/>
        </w:rPr>
        <w:t>-</w:t>
      </w:r>
      <w:r w:rsidRPr="00B6207E">
        <w:rPr>
          <w:rFonts w:ascii="Aptos" w:hAnsi="Aptos" w:cstheme="minorHAnsi"/>
          <w:i/>
          <w:spacing w:val="-3"/>
          <w:sz w:val="20"/>
          <w:szCs w:val="20"/>
        </w:rPr>
        <w:t xml:space="preserve"> </w:t>
      </w:r>
      <w:r w:rsidRPr="00B6207E">
        <w:rPr>
          <w:rFonts w:ascii="Aptos" w:hAnsi="Aptos" w:cstheme="minorHAnsi"/>
          <w:i/>
          <w:sz w:val="20"/>
          <w:szCs w:val="20"/>
        </w:rPr>
        <w:t>00186 Roma</w:t>
      </w:r>
    </w:p>
    <w:p w14:paraId="27DA6728" w14:textId="418A21C1" w:rsidR="00F2495D" w:rsidRPr="00B6207E" w:rsidRDefault="00F2495D" w:rsidP="00F2495D">
      <w:pPr>
        <w:tabs>
          <w:tab w:val="left" w:pos="5719"/>
        </w:tabs>
        <w:ind w:right="109"/>
        <w:jc w:val="both"/>
        <w:rPr>
          <w:rFonts w:ascii="Aptos" w:hAnsi="Aptos" w:cstheme="minorHAnsi"/>
          <w:i/>
          <w:sz w:val="20"/>
          <w:szCs w:val="20"/>
        </w:rPr>
      </w:pPr>
      <w:r w:rsidRPr="00B6207E">
        <w:rPr>
          <w:rFonts w:ascii="Aptos" w:hAnsi="Aptos" w:cstheme="minorHAnsi"/>
          <w:b/>
          <w:i/>
          <w:sz w:val="20"/>
          <w:szCs w:val="20"/>
        </w:rPr>
        <w:t>Circolare</w:t>
      </w:r>
      <w:r w:rsidRPr="00B6207E">
        <w:rPr>
          <w:rFonts w:ascii="Aptos" w:hAnsi="Aptos" w:cstheme="minorHAnsi"/>
          <w:b/>
          <w:i/>
          <w:spacing w:val="-1"/>
          <w:sz w:val="20"/>
          <w:szCs w:val="20"/>
        </w:rPr>
        <w:t xml:space="preserve"> </w:t>
      </w:r>
      <w:r w:rsidRPr="00B6207E">
        <w:rPr>
          <w:rFonts w:ascii="Aptos" w:hAnsi="Aptos" w:cstheme="minorHAnsi"/>
          <w:b/>
          <w:i/>
          <w:sz w:val="20"/>
          <w:szCs w:val="20"/>
        </w:rPr>
        <w:t>n.</w:t>
      </w:r>
      <w:r w:rsidR="00A255A2">
        <w:rPr>
          <w:rFonts w:ascii="Aptos" w:hAnsi="Aptos" w:cstheme="minorHAnsi"/>
          <w:b/>
          <w:i/>
          <w:sz w:val="20"/>
          <w:szCs w:val="20"/>
        </w:rPr>
        <w:t xml:space="preserve"> 17706</w:t>
      </w:r>
      <w:r w:rsidRPr="00B6207E">
        <w:rPr>
          <w:rFonts w:ascii="Aptos" w:hAnsi="Aptos" w:cstheme="minorHAnsi"/>
          <w:b/>
          <w:i/>
          <w:sz w:val="20"/>
          <w:szCs w:val="20"/>
        </w:rPr>
        <w:tab/>
      </w:r>
      <w:r w:rsidR="00CD61A2">
        <w:rPr>
          <w:rFonts w:ascii="Aptos" w:hAnsi="Aptos" w:cstheme="minorHAnsi"/>
          <w:b/>
          <w:i/>
          <w:sz w:val="20"/>
          <w:szCs w:val="20"/>
        </w:rPr>
        <w:t xml:space="preserve">  </w:t>
      </w:r>
      <w:r>
        <w:rPr>
          <w:rFonts w:ascii="Aptos" w:hAnsi="Aptos" w:cstheme="minorHAnsi"/>
          <w:b/>
          <w:i/>
          <w:sz w:val="20"/>
          <w:szCs w:val="20"/>
        </w:rPr>
        <w:t xml:space="preserve"> </w:t>
      </w:r>
      <w:r w:rsidRPr="00B6207E">
        <w:rPr>
          <w:rFonts w:ascii="Aptos" w:hAnsi="Aptos" w:cstheme="minorHAnsi"/>
          <w:i/>
          <w:sz w:val="20"/>
          <w:szCs w:val="20"/>
        </w:rPr>
        <w:t>tel.:</w:t>
      </w:r>
      <w:r w:rsidRPr="00B6207E">
        <w:rPr>
          <w:rFonts w:ascii="Aptos" w:hAnsi="Aptos" w:cstheme="minorHAnsi"/>
          <w:i/>
          <w:spacing w:val="-1"/>
          <w:sz w:val="20"/>
          <w:szCs w:val="20"/>
        </w:rPr>
        <w:t xml:space="preserve"> </w:t>
      </w:r>
      <w:r w:rsidRPr="00B6207E">
        <w:rPr>
          <w:rFonts w:ascii="Aptos" w:hAnsi="Aptos" w:cstheme="minorHAnsi"/>
          <w:i/>
          <w:sz w:val="20"/>
          <w:szCs w:val="20"/>
        </w:rPr>
        <w:t>+39.06.68.52.229 -</w:t>
      </w:r>
      <w:r w:rsidRPr="00B6207E">
        <w:rPr>
          <w:rFonts w:ascii="Aptos" w:hAnsi="Aptos" w:cstheme="minorHAnsi"/>
          <w:i/>
          <w:spacing w:val="-1"/>
          <w:sz w:val="20"/>
          <w:szCs w:val="20"/>
        </w:rPr>
        <w:t xml:space="preserve"> </w:t>
      </w:r>
      <w:r w:rsidRPr="00B6207E">
        <w:rPr>
          <w:rFonts w:ascii="Aptos" w:hAnsi="Aptos" w:cstheme="minorHAnsi"/>
          <w:i/>
          <w:sz w:val="20"/>
          <w:szCs w:val="20"/>
        </w:rPr>
        <w:t>fax:</w:t>
      </w:r>
      <w:r w:rsidRPr="00B6207E">
        <w:rPr>
          <w:rFonts w:ascii="Aptos" w:hAnsi="Aptos" w:cstheme="minorHAnsi"/>
          <w:i/>
          <w:spacing w:val="-2"/>
          <w:sz w:val="20"/>
          <w:szCs w:val="20"/>
        </w:rPr>
        <w:t xml:space="preserve"> </w:t>
      </w:r>
      <w:r w:rsidRPr="00B6207E">
        <w:rPr>
          <w:rFonts w:ascii="Aptos" w:hAnsi="Aptos" w:cstheme="minorHAnsi"/>
          <w:i/>
          <w:sz w:val="20"/>
          <w:szCs w:val="20"/>
        </w:rPr>
        <w:t>+39.06.68.52.307</w:t>
      </w:r>
    </w:p>
    <w:p w14:paraId="00B42481" w14:textId="5C1F9C5A" w:rsidR="00F2495D" w:rsidRPr="00B6207E" w:rsidRDefault="00F2495D" w:rsidP="00F2495D">
      <w:pPr>
        <w:tabs>
          <w:tab w:val="left" w:pos="6830"/>
        </w:tabs>
        <w:ind w:right="109"/>
        <w:jc w:val="both"/>
        <w:rPr>
          <w:rFonts w:ascii="Aptos" w:hAnsi="Aptos" w:cstheme="minorHAnsi"/>
          <w:i/>
          <w:sz w:val="20"/>
          <w:szCs w:val="20"/>
        </w:rPr>
      </w:pPr>
      <w:r w:rsidRPr="00B6207E">
        <w:rPr>
          <w:rFonts w:ascii="Aptos" w:hAnsi="Aptos" w:cstheme="minorHAnsi"/>
          <w:b/>
          <w:i/>
          <w:sz w:val="20"/>
          <w:szCs w:val="20"/>
        </w:rPr>
        <w:t>Prot.</w:t>
      </w:r>
      <w:r>
        <w:rPr>
          <w:rFonts w:ascii="Aptos" w:hAnsi="Aptos" w:cstheme="minorHAnsi"/>
          <w:b/>
          <w:i/>
          <w:sz w:val="20"/>
          <w:szCs w:val="20"/>
        </w:rPr>
        <w:t xml:space="preserve"> </w:t>
      </w:r>
      <w:r w:rsidRPr="00B6207E">
        <w:rPr>
          <w:rFonts w:ascii="Aptos" w:hAnsi="Aptos" w:cstheme="minorHAnsi"/>
          <w:b/>
          <w:i/>
          <w:sz w:val="20"/>
          <w:szCs w:val="20"/>
        </w:rPr>
        <w:t>n.</w:t>
      </w:r>
      <w:r>
        <w:rPr>
          <w:rFonts w:ascii="Aptos" w:hAnsi="Aptos" w:cstheme="minorHAnsi"/>
          <w:b/>
          <w:i/>
          <w:sz w:val="20"/>
          <w:szCs w:val="20"/>
        </w:rPr>
        <w:t xml:space="preserve">     </w:t>
      </w:r>
      <w:r w:rsidR="00A255A2">
        <w:rPr>
          <w:rFonts w:ascii="Aptos" w:hAnsi="Aptos" w:cstheme="minorHAnsi"/>
          <w:b/>
          <w:i/>
          <w:sz w:val="20"/>
          <w:szCs w:val="20"/>
        </w:rPr>
        <w:t>929</w:t>
      </w:r>
      <w:r>
        <w:rPr>
          <w:rFonts w:ascii="Aptos" w:hAnsi="Aptos" w:cstheme="minorHAnsi"/>
          <w:b/>
          <w:i/>
          <w:sz w:val="20"/>
          <w:szCs w:val="20"/>
        </w:rPr>
        <w:t xml:space="preserve">                                                                                                                   </w:t>
      </w:r>
      <w:r w:rsidR="00CD61A2">
        <w:rPr>
          <w:rFonts w:ascii="Aptos" w:hAnsi="Aptos" w:cstheme="minorHAnsi"/>
          <w:b/>
          <w:i/>
          <w:sz w:val="20"/>
          <w:szCs w:val="20"/>
        </w:rPr>
        <w:t xml:space="preserve">  </w:t>
      </w:r>
      <w:r>
        <w:rPr>
          <w:rFonts w:ascii="Aptos" w:hAnsi="Aptos" w:cstheme="minorHAnsi"/>
          <w:b/>
          <w:i/>
          <w:sz w:val="20"/>
          <w:szCs w:val="20"/>
        </w:rPr>
        <w:t xml:space="preserve">  </w:t>
      </w:r>
      <w:r w:rsidR="00A255A2">
        <w:rPr>
          <w:rFonts w:ascii="Aptos" w:hAnsi="Aptos" w:cstheme="minorHAnsi"/>
          <w:b/>
          <w:i/>
          <w:sz w:val="20"/>
          <w:szCs w:val="20"/>
        </w:rPr>
        <w:t xml:space="preserve">                     </w:t>
      </w:r>
      <w:r w:rsidRPr="00B6207E">
        <w:rPr>
          <w:rFonts w:ascii="Aptos" w:hAnsi="Aptos" w:cstheme="minorHAnsi"/>
          <w:i/>
          <w:sz w:val="20"/>
          <w:szCs w:val="20"/>
        </w:rPr>
        <w:t>e-mail:</w:t>
      </w:r>
      <w:r w:rsidRPr="00B6207E">
        <w:rPr>
          <w:rFonts w:ascii="Aptos" w:hAnsi="Aptos" w:cstheme="minorHAnsi"/>
          <w:i/>
          <w:spacing w:val="-5"/>
          <w:sz w:val="20"/>
          <w:szCs w:val="20"/>
        </w:rPr>
        <w:t xml:space="preserve"> </w:t>
      </w:r>
      <w:hyperlink r:id="rId19">
        <w:r w:rsidRPr="00B6207E">
          <w:rPr>
            <w:rFonts w:ascii="Aptos" w:hAnsi="Aptos" w:cstheme="minorHAnsi"/>
            <w:i/>
            <w:color w:val="0000FF"/>
            <w:sz w:val="20"/>
            <w:szCs w:val="20"/>
            <w:u w:val="single" w:color="0000FF"/>
          </w:rPr>
          <w:t>legale@confagricoltura.it</w:t>
        </w:r>
      </w:hyperlink>
    </w:p>
    <w:p w14:paraId="19E91A78" w14:textId="699A2D56" w:rsidR="00F2495D" w:rsidRPr="00907E09" w:rsidRDefault="00F2495D" w:rsidP="00F2495D">
      <w:pPr>
        <w:spacing w:after="47"/>
        <w:ind w:right="111"/>
        <w:jc w:val="both"/>
      </w:pPr>
      <w:r w:rsidRPr="00907E09">
        <w:rPr>
          <w:rFonts w:ascii="Aptos" w:hAnsi="Aptos" w:cstheme="minorHAnsi"/>
          <w:b/>
          <w:bCs/>
          <w:i/>
          <w:sz w:val="20"/>
          <w:szCs w:val="20"/>
        </w:rPr>
        <w:t xml:space="preserve">Roma, </w:t>
      </w:r>
      <w:r>
        <w:rPr>
          <w:rFonts w:ascii="Aptos" w:hAnsi="Aptos" w:cstheme="minorHAnsi"/>
          <w:b/>
          <w:bCs/>
          <w:i/>
          <w:sz w:val="20"/>
          <w:szCs w:val="20"/>
        </w:rPr>
        <w:t xml:space="preserve"> </w:t>
      </w:r>
      <w:r w:rsidR="00A255A2">
        <w:rPr>
          <w:rFonts w:ascii="Aptos" w:hAnsi="Aptos" w:cstheme="minorHAnsi"/>
          <w:b/>
          <w:bCs/>
          <w:i/>
          <w:sz w:val="20"/>
          <w:szCs w:val="20"/>
        </w:rPr>
        <w:t>14 settembre 2026</w:t>
      </w:r>
      <w:r>
        <w:rPr>
          <w:rFonts w:ascii="Aptos" w:hAnsi="Aptos" w:cstheme="minorHAnsi"/>
          <w:b/>
          <w:bCs/>
          <w:i/>
          <w:sz w:val="20"/>
          <w:szCs w:val="20"/>
        </w:rPr>
        <w:t xml:space="preserve">                          </w:t>
      </w:r>
      <w:r>
        <w:rPr>
          <w:rFonts w:ascii="Aptos" w:hAnsi="Aptos" w:cstheme="minorHAnsi"/>
          <w:i/>
          <w:sz w:val="20"/>
          <w:szCs w:val="20"/>
        </w:rPr>
        <w:tab/>
      </w:r>
      <w:r>
        <w:rPr>
          <w:rFonts w:ascii="Aptos" w:hAnsi="Aptos" w:cstheme="minorHAnsi"/>
          <w:i/>
          <w:sz w:val="20"/>
          <w:szCs w:val="20"/>
        </w:rPr>
        <w:tab/>
      </w:r>
      <w:r>
        <w:rPr>
          <w:rFonts w:ascii="Aptos" w:hAnsi="Aptos" w:cstheme="minorHAnsi"/>
          <w:i/>
          <w:sz w:val="20"/>
          <w:szCs w:val="20"/>
        </w:rPr>
        <w:tab/>
      </w:r>
      <w:r>
        <w:rPr>
          <w:rFonts w:ascii="Aptos" w:hAnsi="Aptos" w:cstheme="minorHAnsi"/>
          <w:i/>
          <w:sz w:val="20"/>
          <w:szCs w:val="20"/>
        </w:rPr>
        <w:tab/>
      </w:r>
      <w:r>
        <w:rPr>
          <w:rFonts w:ascii="Aptos" w:hAnsi="Aptos" w:cstheme="minorHAnsi"/>
          <w:i/>
          <w:sz w:val="20"/>
          <w:szCs w:val="20"/>
        </w:rPr>
        <w:tab/>
        <w:t xml:space="preserve">           </w:t>
      </w:r>
      <w:r w:rsidRPr="00907E09">
        <w:rPr>
          <w:rFonts w:ascii="Aptos" w:hAnsi="Aptos" w:cstheme="minorHAnsi"/>
          <w:i/>
          <w:sz w:val="20"/>
          <w:szCs w:val="20"/>
        </w:rPr>
        <w:t>sito</w:t>
      </w:r>
      <w:r w:rsidRPr="00907E09">
        <w:rPr>
          <w:rFonts w:ascii="Aptos" w:hAnsi="Aptos" w:cstheme="minorHAnsi"/>
          <w:i/>
          <w:spacing w:val="-4"/>
          <w:sz w:val="20"/>
          <w:szCs w:val="20"/>
        </w:rPr>
        <w:t xml:space="preserve"> </w:t>
      </w:r>
      <w:r w:rsidRPr="00907E09">
        <w:rPr>
          <w:rFonts w:ascii="Aptos" w:hAnsi="Aptos" w:cstheme="minorHAnsi"/>
          <w:i/>
          <w:sz w:val="20"/>
          <w:szCs w:val="20"/>
        </w:rPr>
        <w:t>web:</w:t>
      </w:r>
      <w:r w:rsidRPr="00907E09">
        <w:rPr>
          <w:rFonts w:ascii="Aptos" w:hAnsi="Aptos" w:cstheme="minorHAnsi"/>
          <w:i/>
          <w:spacing w:val="-2"/>
          <w:sz w:val="20"/>
          <w:szCs w:val="20"/>
        </w:rPr>
        <w:t xml:space="preserve"> </w:t>
      </w:r>
      <w:hyperlink r:id="rId20">
        <w:r w:rsidRPr="00907E09">
          <w:rPr>
            <w:rFonts w:ascii="Aptos" w:hAnsi="Aptos" w:cstheme="minorHAnsi"/>
            <w:i/>
            <w:color w:val="0000FF"/>
            <w:sz w:val="20"/>
            <w:szCs w:val="20"/>
            <w:u w:val="single" w:color="0000FF"/>
          </w:rPr>
          <w:t>www.confagricoltura.it</w:t>
        </w:r>
      </w:hyperlink>
    </w:p>
    <w:p w14:paraId="796F80FE" w14:textId="050F373C" w:rsidR="00835A58" w:rsidRPr="00B6207E" w:rsidRDefault="00103476" w:rsidP="00B6207E">
      <w:pPr>
        <w:pStyle w:val="Corpotesto"/>
        <w:spacing w:line="276" w:lineRule="auto"/>
        <w:ind w:left="-28"/>
        <w:jc w:val="both"/>
        <w:rPr>
          <w:rFonts w:ascii="Aptos" w:hAnsi="Aptos" w:cstheme="minorHAnsi"/>
        </w:rPr>
      </w:pPr>
      <w:r w:rsidRPr="00B6207E">
        <w:rPr>
          <w:rFonts w:ascii="Aptos" w:hAnsi="Aptos" w:cstheme="minorHAnsi"/>
          <w:noProof/>
          <w:lang w:eastAsia="it-IT"/>
        </w:rPr>
        <mc:AlternateContent>
          <mc:Choice Requires="wpg">
            <w:drawing>
              <wp:inline distT="0" distB="0" distL="0" distR="0" wp14:anchorId="77E5C7E2" wp14:editId="6619C108">
                <wp:extent cx="6300470" cy="26035"/>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6035"/>
                          <a:chOff x="0" y="0"/>
                          <a:chExt cx="9922" cy="41"/>
                        </a:xfrm>
                      </wpg:grpSpPr>
                      <wps:wsp>
                        <wps:cNvPr id="6" name="Rectangle 3"/>
                        <wps:cNvSpPr>
                          <a:spLocks noChangeArrowheads="1"/>
                        </wps:cNvSpPr>
                        <wps:spPr bwMode="auto">
                          <a:xfrm>
                            <a:off x="0" y="0"/>
                            <a:ext cx="9922" cy="41"/>
                          </a:xfrm>
                          <a:prstGeom prst="rect">
                            <a:avLst/>
                          </a:prstGeom>
                          <a:solidFill>
                            <a:srgbClr val="008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714B8B2F" id="Group 2" o:spid="_x0000_s1026" style="width:496.1pt;height:2.05pt;mso-position-horizontal-relative:char;mso-position-vertical-relative:line" coordsize="99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EZSAIAAAUFAAAOAAAAZHJzL2Uyb0RvYy54bWykVNtu2zAMfR+wfxD0vti5NG2MOkWRrMGA&#10;bivW7QMUWb5gtqhRSpzu60tJbpu22Ev2IogiRZ1zSOry6tC1bK/QNqBzPh6lnCktoWh0lfNfP28+&#10;XXBmndCFaEGrnD8oy6+WHz9c9iZTE6ihLRQySqJt1puc186ZLEmsrFUn7AiM0uQsATvhyMQqKVD0&#10;lL1rk0mazpMesDAIUllLp+vo5MuQvyyVdN/L0irH2pwTNhdWDOvWr8nyUmQVClM3coAhTkDRiUbT&#10;o8+p1sIJtsPmXaqukQgWSjeS0CVQlo1UgQOxGadv2GwQdiZwqbK+Ms8ykbRvdDo5rfy236C5N3cY&#10;0dP2FuRvS7okvamyY7+3qxjMtv1XKKieYucgED+U2PkURIkdgr4Pz/qqg2OSDufTNJ2dUxkk+Sbz&#10;dHoW9Zc1FendLVl/Hu4tFpNJvDQb+xuJyOJzAeIAyZecesi+yGT/T6b7WhgV1LdehjtkTUEcONOi&#10;I+Y/qLeErlrFph6Tf5yinpS0UUamYVVTlLpGhL5WoiBQkcOrC96wVITTdP2nPiIzaN1GQcf8JudI&#10;oEO5xP7WuijlU4ivnoW2KW6atg0GVttVi2wv/PCkF4vpelD/VVirfbAGfy1m9CdUmkgpSrOF4oHo&#10;IcQJpB+DNjXgX856mr6c2z87gYqz9osmiRbj2cyPazBmZ+cTMvDYsz32CC0pVc4dZ3G7cnHEdwab&#10;qqaXxoG0hmtq17IJxD2+iGoAS60zND3NWmiy4V/ww3xsh6iX32v5CAAA//8DAFBLAwQUAAYACAAA&#10;ACEA52xQLt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xyDyT/9nzbwAAAP//AwBQSwECLQAUAAYACAAAACEAtoM4kv4AAADhAQAAEwAA&#10;AAAAAAAAAAAAAAAAAAAAW0NvbnRlbnRfVHlwZXNdLnhtbFBLAQItABQABgAIAAAAIQA4/SH/1gAA&#10;AJQBAAALAAAAAAAAAAAAAAAAAC8BAABfcmVscy8ucmVsc1BLAQItABQABgAIAAAAIQDlBCEZSAIA&#10;AAUFAAAOAAAAAAAAAAAAAAAAAC4CAABkcnMvZTJvRG9jLnhtbFBLAQItABQABgAIAAAAIQDnbFAu&#10;3AAAAAMBAAAPAAAAAAAAAAAAAAAAAKIEAABkcnMvZG93bnJldi54bWxQSwUGAAAAAAQABADzAAAA&#10;qwUAAAAA&#10;">
                <v:rect id="Rectangle 3" o:spid="_x0000_s1027" style="position:absolute;width:99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FwFxAAAANoAAAAPAAAAZHJzL2Rvd25yZXYueG1sRI9Ba8JA&#10;FITvhf6H5RV6KbqxiA3RVUQUCp6MUvD2yD6T0OzbNLu6qb/eFQSPw8x8w8wWvWnEhTpXW1YwGiYg&#10;iAuray4VHPabQQrCeWSNjWVS8E8OFvPXlxlm2gbe0SX3pYgQdhkqqLxvMyldUZFBN7QtcfROtjPo&#10;o+xKqTsMEW4a+ZkkE2mw5rhQYUuriorf/GwU7MPqur3+jcKHGx/T89dPWBf5Uqn3t345BeGp98/w&#10;o/2tFUzgfiXeADm/AQAA//8DAFBLAQItABQABgAIAAAAIQDb4fbL7gAAAIUBAAATAAAAAAAAAAAA&#10;AAAAAAAAAABbQ29udGVudF9UeXBlc10ueG1sUEsBAi0AFAAGAAgAAAAhAFr0LFu/AAAAFQEAAAsA&#10;AAAAAAAAAAAAAAAAHwEAAF9yZWxzLy5yZWxzUEsBAi0AFAAGAAgAAAAhAD3sXAXEAAAA2gAAAA8A&#10;AAAAAAAAAAAAAAAABwIAAGRycy9kb3ducmV2LnhtbFBLBQYAAAAAAwADALcAAAD4AgAAAAA=&#10;" fillcolor="#00893d" stroked="f"/>
                <w10:anchorlock/>
              </v:group>
            </w:pict>
          </mc:Fallback>
        </mc:AlternateContent>
      </w:r>
    </w:p>
    <w:p w14:paraId="45B4793F" w14:textId="77777777" w:rsidR="00835A58" w:rsidRPr="00B6207E" w:rsidRDefault="00835A58" w:rsidP="00B6207E">
      <w:pPr>
        <w:pStyle w:val="Corpotesto"/>
        <w:spacing w:before="8" w:line="276" w:lineRule="auto"/>
        <w:jc w:val="both"/>
        <w:rPr>
          <w:rFonts w:ascii="Aptos" w:hAnsi="Aptos" w:cstheme="minorHAnsi"/>
          <w:i/>
        </w:rPr>
      </w:pPr>
    </w:p>
    <w:p w14:paraId="4CCA630E" w14:textId="77777777" w:rsidR="00025620" w:rsidRPr="00025620" w:rsidRDefault="00197FA0" w:rsidP="00025620">
      <w:pPr>
        <w:pStyle w:val="Titolo1"/>
        <w:tabs>
          <w:tab w:val="left" w:pos="1418"/>
        </w:tabs>
        <w:spacing w:line="360" w:lineRule="auto"/>
        <w:ind w:left="993" w:hanging="880"/>
        <w:jc w:val="both"/>
        <w:rPr>
          <w:rFonts w:ascii="Aptos" w:hAnsi="Aptos" w:cstheme="minorHAnsi"/>
          <w:i/>
          <w:iCs/>
        </w:rPr>
      </w:pPr>
      <w:r w:rsidRPr="00B6207E">
        <w:rPr>
          <w:rFonts w:ascii="Aptos" w:hAnsi="Aptos" w:cstheme="minorHAnsi"/>
          <w:i/>
          <w:iCs/>
        </w:rPr>
        <w:t>Oggetto:</w:t>
      </w:r>
      <w:bookmarkStart w:id="2" w:name="_Hlk101260103"/>
      <w:r w:rsidR="001E5A1B" w:rsidRPr="00B6207E">
        <w:rPr>
          <w:rFonts w:ascii="Aptos" w:hAnsi="Aptos" w:cstheme="minorHAnsi"/>
          <w:i/>
          <w:iCs/>
        </w:rPr>
        <w:t xml:space="preserve"> </w:t>
      </w:r>
      <w:bookmarkStart w:id="3" w:name="_Hlk178325981"/>
      <w:bookmarkEnd w:id="2"/>
      <w:r w:rsidR="00025620" w:rsidRPr="00025620">
        <w:rPr>
          <w:rFonts w:ascii="Aptos" w:hAnsi="Aptos" w:cstheme="minorHAnsi"/>
          <w:b w:val="0"/>
          <w:bCs w:val="0"/>
          <w:i/>
          <w:iCs/>
        </w:rPr>
        <w:t xml:space="preserve">La </w:t>
      </w:r>
      <w:proofErr w:type="gramStart"/>
      <w:r w:rsidR="00025620" w:rsidRPr="00025620">
        <w:rPr>
          <w:rFonts w:ascii="Aptos" w:hAnsi="Aptos" w:cstheme="minorHAnsi"/>
          <w:b w:val="0"/>
          <w:bCs w:val="0"/>
          <w:i/>
          <w:iCs/>
        </w:rPr>
        <w:t>Corte Costituzionale</w:t>
      </w:r>
      <w:proofErr w:type="gramEnd"/>
      <w:r w:rsidR="00025620" w:rsidRPr="00025620">
        <w:rPr>
          <w:rFonts w:ascii="Aptos" w:hAnsi="Aptos" w:cstheme="minorHAnsi"/>
          <w:b w:val="0"/>
          <w:bCs w:val="0"/>
          <w:i/>
          <w:iCs/>
        </w:rPr>
        <w:t xml:space="preserve"> conferma il divieto di installare impianti fotovoltaici a terra nelle aree agricole</w:t>
      </w:r>
    </w:p>
    <w:p w14:paraId="54AAA6CA" w14:textId="77777777" w:rsidR="00CD61A2" w:rsidRPr="00B6207E" w:rsidRDefault="00CD61A2" w:rsidP="00025620">
      <w:pPr>
        <w:pStyle w:val="Titolo1"/>
        <w:tabs>
          <w:tab w:val="left" w:pos="1418"/>
        </w:tabs>
        <w:spacing w:line="360" w:lineRule="auto"/>
        <w:ind w:left="0"/>
        <w:jc w:val="both"/>
        <w:rPr>
          <w:rFonts w:ascii="Aptos" w:hAnsi="Aptos" w:cstheme="minorHAnsi"/>
          <w:b w:val="0"/>
          <w:bCs w:val="0"/>
        </w:rPr>
      </w:pPr>
    </w:p>
    <w:bookmarkEnd w:id="3"/>
    <w:p w14:paraId="3872FD08" w14:textId="56D405B1" w:rsidR="000D1587" w:rsidRDefault="00D2187D" w:rsidP="002915A7">
      <w:pPr>
        <w:pStyle w:val="Titolo1"/>
        <w:spacing w:before="144" w:line="360" w:lineRule="auto"/>
        <w:ind w:right="6521"/>
        <w:jc w:val="both"/>
        <w:rPr>
          <w:rFonts w:ascii="Aptos" w:hAnsi="Aptos" w:cstheme="minorHAnsi"/>
          <w:b w:val="0"/>
          <w:bCs w:val="0"/>
          <w:i/>
          <w:iCs/>
        </w:rPr>
      </w:pPr>
      <w:r w:rsidRPr="00B6207E">
        <w:rPr>
          <w:rFonts w:ascii="Aptos" w:hAnsi="Aptos" w:cstheme="minorHAnsi"/>
          <w:b w:val="0"/>
          <w:bCs w:val="0"/>
          <w:i/>
          <w:iCs/>
        </w:rPr>
        <w:t>(a cura di</w:t>
      </w:r>
      <w:r w:rsidR="00A07DA2">
        <w:rPr>
          <w:rFonts w:ascii="Aptos" w:hAnsi="Aptos" w:cstheme="minorHAnsi"/>
          <w:b w:val="0"/>
          <w:bCs w:val="0"/>
          <w:i/>
          <w:iCs/>
        </w:rPr>
        <w:t xml:space="preserve"> Giordana Campana</w:t>
      </w:r>
      <w:r w:rsidRPr="00B6207E">
        <w:rPr>
          <w:rFonts w:ascii="Aptos" w:hAnsi="Aptos" w:cstheme="minorHAnsi"/>
          <w:b w:val="0"/>
          <w:bCs w:val="0"/>
          <w:i/>
          <w:iCs/>
        </w:rPr>
        <w:t>)</w:t>
      </w:r>
    </w:p>
    <w:p w14:paraId="6A432E91" w14:textId="77777777" w:rsidR="00B6207E" w:rsidRPr="00B6207E" w:rsidRDefault="00B6207E" w:rsidP="002915A7">
      <w:pPr>
        <w:pStyle w:val="Titolo1"/>
        <w:spacing w:before="144" w:line="360" w:lineRule="auto"/>
        <w:ind w:left="0" w:right="6521"/>
        <w:jc w:val="both"/>
        <w:rPr>
          <w:rFonts w:ascii="Aptos" w:hAnsi="Aptos" w:cstheme="minorHAnsi"/>
          <w:b w:val="0"/>
          <w:bCs w:val="0"/>
          <w:i/>
          <w:iCs/>
        </w:rPr>
      </w:pPr>
    </w:p>
    <w:p w14:paraId="7BB39CD2" w14:textId="77777777" w:rsidR="002320E7" w:rsidRPr="002320E7" w:rsidRDefault="00197FA0" w:rsidP="002320E7">
      <w:pPr>
        <w:pStyle w:val="Corpotesto"/>
        <w:jc w:val="both"/>
        <w:rPr>
          <w:rFonts w:ascii="Aptos" w:hAnsi="Aptos"/>
          <w:b/>
          <w:bCs/>
          <w:spacing w:val="1"/>
        </w:rPr>
      </w:pPr>
      <w:r w:rsidRPr="002320E7">
        <w:rPr>
          <w:rFonts w:ascii="Aptos" w:hAnsi="Aptos"/>
          <w:b/>
          <w:bCs/>
        </w:rPr>
        <w:t>Alle</w:t>
      </w:r>
      <w:r w:rsidRPr="002320E7">
        <w:rPr>
          <w:rFonts w:ascii="Aptos" w:hAnsi="Aptos"/>
          <w:b/>
          <w:bCs/>
          <w:spacing w:val="-2"/>
        </w:rPr>
        <w:t xml:space="preserve"> </w:t>
      </w:r>
      <w:r w:rsidRPr="002320E7">
        <w:rPr>
          <w:rFonts w:ascii="Aptos" w:hAnsi="Aptos"/>
          <w:b/>
          <w:bCs/>
        </w:rPr>
        <w:t>Unioni</w:t>
      </w:r>
      <w:r w:rsidRPr="002320E7">
        <w:rPr>
          <w:rFonts w:ascii="Aptos" w:hAnsi="Aptos"/>
          <w:b/>
          <w:bCs/>
          <w:spacing w:val="3"/>
        </w:rPr>
        <w:t xml:space="preserve"> </w:t>
      </w:r>
      <w:r w:rsidRPr="002320E7">
        <w:rPr>
          <w:rFonts w:ascii="Aptos" w:hAnsi="Aptos"/>
          <w:b/>
          <w:bCs/>
        </w:rPr>
        <w:t>Provinciali</w:t>
      </w:r>
      <w:r w:rsidRPr="002320E7">
        <w:rPr>
          <w:rFonts w:ascii="Aptos" w:hAnsi="Aptos"/>
          <w:b/>
          <w:bCs/>
          <w:spacing w:val="1"/>
        </w:rPr>
        <w:t xml:space="preserve"> </w:t>
      </w:r>
      <w:r w:rsidRPr="002320E7">
        <w:rPr>
          <w:rFonts w:ascii="Aptos" w:hAnsi="Aptos"/>
          <w:b/>
          <w:bCs/>
        </w:rPr>
        <w:t>Agricoltori</w:t>
      </w:r>
      <w:r w:rsidRPr="002320E7">
        <w:rPr>
          <w:rFonts w:ascii="Aptos" w:hAnsi="Aptos"/>
          <w:b/>
          <w:bCs/>
          <w:spacing w:val="1"/>
        </w:rPr>
        <w:t xml:space="preserve"> </w:t>
      </w:r>
    </w:p>
    <w:p w14:paraId="4217ACD5" w14:textId="5556BD93" w:rsidR="00837D35" w:rsidRPr="002320E7" w:rsidRDefault="00197FA0" w:rsidP="002320E7">
      <w:pPr>
        <w:pStyle w:val="Corpotesto"/>
        <w:jc w:val="both"/>
        <w:rPr>
          <w:rFonts w:ascii="Aptos" w:hAnsi="Aptos"/>
          <w:b/>
          <w:bCs/>
          <w:spacing w:val="-47"/>
        </w:rPr>
      </w:pPr>
      <w:r w:rsidRPr="002320E7">
        <w:rPr>
          <w:rFonts w:ascii="Aptos" w:hAnsi="Aptos"/>
          <w:b/>
          <w:bCs/>
        </w:rPr>
        <w:t>Alle Federazioni Regionali</w:t>
      </w:r>
      <w:r w:rsidR="00837D35" w:rsidRPr="002320E7">
        <w:rPr>
          <w:rFonts w:ascii="Aptos" w:hAnsi="Aptos"/>
          <w:b/>
          <w:bCs/>
        </w:rPr>
        <w:t xml:space="preserve"> </w:t>
      </w:r>
      <w:r w:rsidRPr="002320E7">
        <w:rPr>
          <w:rFonts w:ascii="Aptos" w:hAnsi="Aptos"/>
          <w:b/>
          <w:bCs/>
        </w:rPr>
        <w:t>Agricoltori</w:t>
      </w:r>
      <w:r w:rsidRPr="002320E7">
        <w:rPr>
          <w:rFonts w:ascii="Aptos" w:hAnsi="Aptos"/>
          <w:b/>
          <w:bCs/>
          <w:spacing w:val="-47"/>
        </w:rPr>
        <w:t xml:space="preserve"> </w:t>
      </w:r>
    </w:p>
    <w:p w14:paraId="07573767" w14:textId="4B0CB8BB" w:rsidR="00835A58" w:rsidRPr="002320E7" w:rsidRDefault="00197FA0" w:rsidP="002320E7">
      <w:pPr>
        <w:pStyle w:val="Corpotesto"/>
        <w:jc w:val="both"/>
        <w:rPr>
          <w:rFonts w:ascii="Aptos" w:hAnsi="Aptos"/>
          <w:b/>
          <w:bCs/>
        </w:rPr>
      </w:pPr>
      <w:r w:rsidRPr="002320E7">
        <w:rPr>
          <w:rFonts w:ascii="Aptos" w:hAnsi="Aptos"/>
          <w:b/>
          <w:bCs/>
        </w:rPr>
        <w:t>Loro</w:t>
      </w:r>
      <w:r w:rsidRPr="002320E7">
        <w:rPr>
          <w:rFonts w:ascii="Aptos" w:hAnsi="Aptos"/>
          <w:b/>
          <w:bCs/>
          <w:spacing w:val="-1"/>
        </w:rPr>
        <w:t xml:space="preserve"> </w:t>
      </w:r>
      <w:r w:rsidRPr="002320E7">
        <w:rPr>
          <w:rFonts w:ascii="Aptos" w:hAnsi="Aptos"/>
          <w:b/>
          <w:bCs/>
        </w:rPr>
        <w:t>Sedi</w:t>
      </w:r>
    </w:p>
    <w:p w14:paraId="0C6005A4" w14:textId="77777777" w:rsidR="005F36A9" w:rsidRDefault="005F36A9" w:rsidP="002915A7">
      <w:pPr>
        <w:spacing w:line="360" w:lineRule="auto"/>
        <w:jc w:val="both"/>
        <w:rPr>
          <w:rFonts w:ascii="Aptos" w:hAnsi="Aptos" w:cstheme="minorHAnsi"/>
          <w:b/>
          <w:bCs/>
        </w:rPr>
      </w:pPr>
      <w:bookmarkStart w:id="4" w:name="_Hlk192759891"/>
    </w:p>
    <w:p w14:paraId="172B6FC1" w14:textId="77777777" w:rsidR="00BC4DA6" w:rsidRDefault="00BC4DA6" w:rsidP="002915A7">
      <w:pPr>
        <w:spacing w:line="360" w:lineRule="auto"/>
        <w:jc w:val="both"/>
        <w:rPr>
          <w:rFonts w:ascii="Aptos" w:hAnsi="Aptos" w:cstheme="minorHAnsi"/>
          <w:b/>
          <w:bCs/>
        </w:rPr>
      </w:pPr>
    </w:p>
    <w:p w14:paraId="3C95500A" w14:textId="77777777" w:rsidR="005E7475"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Con la </w:t>
      </w:r>
      <w:r w:rsidRPr="006239BA">
        <w:rPr>
          <w:rFonts w:ascii="Amasis MT Pro Light" w:hAnsi="Amasis MT Pro Light" w:cstheme="minorHAnsi"/>
          <w:i/>
          <w:iCs/>
        </w:rPr>
        <w:t>sentenza n. 127 del 2026</w:t>
      </w:r>
      <w:r w:rsidRPr="00987E87">
        <w:rPr>
          <w:rFonts w:ascii="Amasis MT Pro Light" w:hAnsi="Amasis MT Pro Light" w:cstheme="minorHAnsi"/>
        </w:rPr>
        <w:t xml:space="preserve">, depositata il 16 luglio 2026 e pubblicata nella Gazzetta Ufficiale del 22 luglio 2026, la Corte costituzionale ha dichiarato non fondate le questioni di legittimità costituzionale sollevate dal TAR Lazio nei confronti dell’articolo 5, commi 1 e 2, del decreto-legge n. 63 del 2024, convertito dalla legge n. 101 del 2024, e dell’articolo 2, comma 2, primo periodo, del decreto legislativo n. 190 del 2024, nella parte in cui tali disposizioni limitavano l’installazione, nelle zone classificate agricole dai vigenti strumenti urbanistici, degli impianti fotovoltaici con moduli collocati a terra. </w:t>
      </w:r>
    </w:p>
    <w:p w14:paraId="1DB37183" w14:textId="77777777" w:rsidR="00527404" w:rsidRDefault="00527404" w:rsidP="00BC4DA6">
      <w:pPr>
        <w:spacing w:line="360" w:lineRule="auto"/>
        <w:jc w:val="both"/>
        <w:rPr>
          <w:rFonts w:ascii="Amasis MT Pro Light" w:hAnsi="Amasis MT Pro Light" w:cstheme="minorHAnsi"/>
        </w:rPr>
      </w:pPr>
    </w:p>
    <w:p w14:paraId="657BC03E" w14:textId="77777777" w:rsidR="00C66C5A"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Il giudice rimettente aveva prospettato la violazione degli articoli 3, 9, 11 e 117, primo comma, della Costituzione, anche in relazione alla normativa europea sulla promozione delle energie rinnovabili e sul raggiungimento degli obiettivi climatici, sostenendo che il divieto potesse restringere eccessivamente le aree disponibili per la produzione di energia solare, ostacolare il conseguimento degli obiettivi europei e attribuire una prevalenza assoluta alla tutela del suolo agricolo. </w:t>
      </w:r>
    </w:p>
    <w:p w14:paraId="10AEA221" w14:textId="77777777" w:rsidR="00BC4DA6" w:rsidRDefault="00BC4DA6" w:rsidP="00BC4DA6">
      <w:pPr>
        <w:spacing w:line="360" w:lineRule="auto"/>
        <w:jc w:val="both"/>
        <w:rPr>
          <w:rFonts w:ascii="Amasis MT Pro Light" w:hAnsi="Amasis MT Pro Light" w:cstheme="minorHAnsi"/>
        </w:rPr>
      </w:pPr>
    </w:p>
    <w:p w14:paraId="74BC9E64" w14:textId="77777777" w:rsidR="00BC4DA6"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La Corte ha escluso tale contrasto, precisando innanzitutto che </w:t>
      </w:r>
      <w:r w:rsidRPr="00527404">
        <w:rPr>
          <w:rFonts w:ascii="Amasis MT Pro Light" w:hAnsi="Amasis MT Pro Light" w:cstheme="minorHAnsi"/>
          <w:u w:val="single"/>
        </w:rPr>
        <w:t>la disciplina non introduce un divieto generale di installazione di impianti fotovoltaici nelle aree agricole, ma riguarda esclusivamente gli impianti con moduli collocati a terra,</w:t>
      </w:r>
      <w:r w:rsidRPr="00987E87">
        <w:rPr>
          <w:rFonts w:ascii="Amasis MT Pro Light" w:hAnsi="Amasis MT Pro Light" w:cstheme="minorHAnsi"/>
        </w:rPr>
        <w:t xml:space="preserve"> che possono determinare la sottrazione del terreno alla sua funzione agricola. </w:t>
      </w:r>
      <w:r w:rsidRPr="00527404">
        <w:rPr>
          <w:rFonts w:ascii="Amasis MT Pro Light" w:hAnsi="Amasis MT Pro Light" w:cstheme="minorHAnsi"/>
          <w:u w:val="single"/>
        </w:rPr>
        <w:t>Restano</w:t>
      </w:r>
      <w:r w:rsidR="00C66C5A">
        <w:rPr>
          <w:rFonts w:ascii="Amasis MT Pro Light" w:hAnsi="Amasis MT Pro Light" w:cstheme="minorHAnsi"/>
          <w:u w:val="single"/>
        </w:rPr>
        <w:t>,</w:t>
      </w:r>
      <w:r w:rsidRPr="00527404">
        <w:rPr>
          <w:rFonts w:ascii="Amasis MT Pro Light" w:hAnsi="Amasis MT Pro Light" w:cstheme="minorHAnsi"/>
          <w:u w:val="single"/>
        </w:rPr>
        <w:t xml:space="preserve"> invece</w:t>
      </w:r>
      <w:r w:rsidR="00C66C5A">
        <w:rPr>
          <w:rFonts w:ascii="Amasis MT Pro Light" w:hAnsi="Amasis MT Pro Light" w:cstheme="minorHAnsi"/>
          <w:u w:val="single"/>
        </w:rPr>
        <w:t>,</w:t>
      </w:r>
      <w:r w:rsidRPr="00527404">
        <w:rPr>
          <w:rFonts w:ascii="Amasis MT Pro Light" w:hAnsi="Amasis MT Pro Light" w:cstheme="minorHAnsi"/>
          <w:u w:val="single"/>
        </w:rPr>
        <w:t xml:space="preserve"> consentiti gli impianti agrivoltaici nei quali i moduli siano collocati in posizione elevata e configurati in modo da garantire l’effettiva continuità delle attività agricole e pastorali</w:t>
      </w:r>
      <w:r w:rsidRPr="00987E87">
        <w:rPr>
          <w:rFonts w:ascii="Amasis MT Pro Light" w:hAnsi="Amasis MT Pro Light" w:cstheme="minorHAnsi"/>
        </w:rPr>
        <w:t>. La distinzione tra fotovoltaico a terra e agrivoltaico non dipende</w:t>
      </w:r>
      <w:r w:rsidR="00C66C5A">
        <w:rPr>
          <w:rFonts w:ascii="Amasis MT Pro Light" w:hAnsi="Amasis MT Pro Light" w:cstheme="minorHAnsi"/>
        </w:rPr>
        <w:t>,</w:t>
      </w:r>
      <w:r w:rsidRPr="00987E87">
        <w:rPr>
          <w:rFonts w:ascii="Amasis MT Pro Light" w:hAnsi="Amasis MT Pro Light" w:cstheme="minorHAnsi"/>
        </w:rPr>
        <w:t xml:space="preserve"> quindi</w:t>
      </w:r>
      <w:r w:rsidR="00C66C5A">
        <w:rPr>
          <w:rFonts w:ascii="Amasis MT Pro Light" w:hAnsi="Amasis MT Pro Light" w:cstheme="minorHAnsi"/>
        </w:rPr>
        <w:t>,</w:t>
      </w:r>
      <w:r w:rsidRPr="00987E87">
        <w:rPr>
          <w:rFonts w:ascii="Amasis MT Pro Light" w:hAnsi="Amasis MT Pro Light" w:cstheme="minorHAnsi"/>
        </w:rPr>
        <w:t xml:space="preserve"> dalla sola denominazione attribuita al progetto, ma dalla sua concreta configurazione tecnica </w:t>
      </w:r>
    </w:p>
    <w:p w14:paraId="6327931E" w14:textId="77777777" w:rsidR="00BC4DA6" w:rsidRDefault="00BC4DA6" w:rsidP="00BC4DA6">
      <w:pPr>
        <w:spacing w:line="360" w:lineRule="auto"/>
        <w:jc w:val="both"/>
        <w:rPr>
          <w:rFonts w:ascii="Amasis MT Pro Light" w:hAnsi="Amasis MT Pro Light" w:cstheme="minorHAnsi"/>
        </w:rPr>
      </w:pPr>
    </w:p>
    <w:p w14:paraId="5F410663" w14:textId="0043DF70" w:rsidR="00527404" w:rsidRDefault="00987E87" w:rsidP="00BC4DA6">
      <w:pPr>
        <w:spacing w:line="360" w:lineRule="auto"/>
        <w:jc w:val="both"/>
        <w:rPr>
          <w:rFonts w:ascii="Amasis MT Pro Light" w:hAnsi="Amasis MT Pro Light" w:cstheme="minorHAnsi"/>
          <w:b/>
          <w:bCs/>
        </w:rPr>
      </w:pPr>
      <w:r w:rsidRPr="00987E87">
        <w:rPr>
          <w:rFonts w:ascii="Amasis MT Pro Light" w:hAnsi="Amasis MT Pro Light" w:cstheme="minorHAnsi"/>
        </w:rPr>
        <w:t xml:space="preserve">e funzionale: ciò che rileva è che </w:t>
      </w:r>
      <w:r w:rsidRPr="00C66C5A">
        <w:rPr>
          <w:rFonts w:ascii="Amasis MT Pro Light" w:hAnsi="Amasis MT Pro Light" w:cstheme="minorHAnsi"/>
          <w:b/>
          <w:bCs/>
        </w:rPr>
        <w:t xml:space="preserve">la produzione energetica possa realmente coesistere con la coltivazione, il pascolo e l’utilizzazione agricola del fondo. </w:t>
      </w:r>
    </w:p>
    <w:p w14:paraId="5B9C32E1" w14:textId="77777777" w:rsidR="00BC4DA6" w:rsidRPr="00C66C5A" w:rsidRDefault="00BC4DA6" w:rsidP="00BC4DA6">
      <w:pPr>
        <w:spacing w:line="360" w:lineRule="auto"/>
        <w:jc w:val="both"/>
        <w:rPr>
          <w:rFonts w:ascii="Amasis MT Pro Light" w:hAnsi="Amasis MT Pro Light" w:cstheme="minorHAnsi"/>
          <w:b/>
          <w:bCs/>
        </w:rPr>
      </w:pPr>
    </w:p>
    <w:p w14:paraId="55A86CBB" w14:textId="77777777" w:rsidR="00C66C5A"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La Corte ha riconosciuto che la normativa esaminata non forniva una definizione analitica dell’espressione </w:t>
      </w:r>
      <w:r w:rsidRPr="00527404">
        <w:rPr>
          <w:rFonts w:ascii="Amasis MT Pro Light" w:hAnsi="Amasis MT Pro Light" w:cstheme="minorHAnsi"/>
          <w:i/>
          <w:iCs/>
        </w:rPr>
        <w:t>«moduli collocati a terra»,</w:t>
      </w:r>
      <w:r w:rsidRPr="00987E87">
        <w:rPr>
          <w:rFonts w:ascii="Amasis MT Pro Light" w:hAnsi="Amasis MT Pro Light" w:cstheme="minorHAnsi"/>
        </w:rPr>
        <w:t xml:space="preserve"> ma ha ritenuto che il significato della disposizione potesse essere ricavato dalla sua finalità, consistente nella tutela del suolo agricolo e nella salvaguardia della continuità delle attività colturali e pastorali. Tale interpretazione è stata confermata dal decreto-legge n. 175 del 2025, convertito dalla legge n. 4 del 2026, che ha introdotto nel decreto legislativo n. 190 del 2024 una definizione dell’impianto agrivoltaico fondata proprio </w:t>
      </w:r>
      <w:r w:rsidRPr="00C66C5A">
        <w:rPr>
          <w:rFonts w:ascii="Amasis MT Pro Light" w:hAnsi="Amasis MT Pro Light" w:cstheme="minorHAnsi"/>
        </w:rPr>
        <w:t>sulla conservazione dell’attività agricola e ha previsto la possibilità di installare moduli collocati in posizione adeguatamente elevata da terra.</w:t>
      </w:r>
      <w:r w:rsidRPr="00987E87">
        <w:rPr>
          <w:rFonts w:ascii="Amasis MT Pro Light" w:hAnsi="Amasis MT Pro Light" w:cstheme="minorHAnsi"/>
        </w:rPr>
        <w:t xml:space="preserve"> L’adeguatezza dell’elevazione deve essere valutata in senso funzionale e non soltanto geometrico, verificando che la soluzione progettuale consenta concretamente le lavorazioni agricole, il passaggio dei mezzi, il pascolo e le altre attività proprie del sito. </w:t>
      </w:r>
    </w:p>
    <w:p w14:paraId="750381B0" w14:textId="77777777" w:rsidR="00BC4DA6" w:rsidRDefault="00BC4DA6" w:rsidP="00BC4DA6">
      <w:pPr>
        <w:spacing w:line="360" w:lineRule="auto"/>
        <w:jc w:val="both"/>
        <w:rPr>
          <w:rFonts w:ascii="Amasis MT Pro Light" w:hAnsi="Amasis MT Pro Light" w:cstheme="minorHAnsi"/>
        </w:rPr>
      </w:pPr>
    </w:p>
    <w:p w14:paraId="5B112BCF" w14:textId="12DBF6EC" w:rsidR="0076328C"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La Consulta ha</w:t>
      </w:r>
      <w:r w:rsidR="00C66C5A">
        <w:rPr>
          <w:rFonts w:ascii="Amasis MT Pro Light" w:hAnsi="Amasis MT Pro Light" w:cstheme="minorHAnsi"/>
        </w:rPr>
        <w:t>,</w:t>
      </w:r>
      <w:r w:rsidRPr="00987E87">
        <w:rPr>
          <w:rFonts w:ascii="Amasis MT Pro Light" w:hAnsi="Amasis MT Pro Light" w:cstheme="minorHAnsi"/>
        </w:rPr>
        <w:t xml:space="preserve"> inoltre</w:t>
      </w:r>
      <w:r w:rsidR="00C66C5A">
        <w:rPr>
          <w:rFonts w:ascii="Amasis MT Pro Light" w:hAnsi="Amasis MT Pro Light" w:cstheme="minorHAnsi"/>
        </w:rPr>
        <w:t>,</w:t>
      </w:r>
      <w:r w:rsidRPr="00987E87">
        <w:rPr>
          <w:rFonts w:ascii="Amasis MT Pro Light" w:hAnsi="Amasis MT Pro Light" w:cstheme="minorHAnsi"/>
        </w:rPr>
        <w:t xml:space="preserve"> evidenziato che il divieto non ha carattere assoluto, poiché la legge prevede numerose eccezioni, riguardanti, tra l’altro, gli interventi su impianti esistenti, le aree industriali, artigianali e commerciali, le cave e le miniere cessate, le discariche chiuse e ripristinate, le aree aeroportuali, le aree prossime alle autostrade, i progetti destinati alle comunità energetiche rinnovabili e quelli necessari all’attuazione del PNRR. Ne consegue che </w:t>
      </w:r>
      <w:r w:rsidRPr="00E43FCC">
        <w:rPr>
          <w:rFonts w:ascii="Amasis MT Pro Light" w:hAnsi="Amasis MT Pro Light" w:cstheme="minorHAnsi"/>
          <w:u w:val="single"/>
        </w:rPr>
        <w:t>il legislatore non ha sottratto tutte le aree agricole alla produzione di energia solare, ma ha limitato una specifica tecnologia maggiormente incidente sul consumo di suolo, mantenendo disponibili soluzioni alternative e aree espressamente individuate</w:t>
      </w:r>
      <w:r w:rsidRPr="00987E87">
        <w:rPr>
          <w:rFonts w:ascii="Amasis MT Pro Light" w:hAnsi="Amasis MT Pro Light" w:cstheme="minorHAnsi"/>
        </w:rPr>
        <w:t xml:space="preserve">. </w:t>
      </w:r>
    </w:p>
    <w:p w14:paraId="0494EBBA" w14:textId="77777777" w:rsidR="00BC4DA6" w:rsidRDefault="00BC4DA6" w:rsidP="00BC4DA6">
      <w:pPr>
        <w:spacing w:line="360" w:lineRule="auto"/>
        <w:jc w:val="both"/>
        <w:rPr>
          <w:rFonts w:ascii="Amasis MT Pro Light" w:hAnsi="Amasis MT Pro Light" w:cstheme="minorHAnsi"/>
        </w:rPr>
      </w:pPr>
    </w:p>
    <w:p w14:paraId="02CDAB23" w14:textId="77777777" w:rsidR="00C66C5A"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Con riferimento al diritto europeo, la Corte ha confermato il principio della massima diffusione delle fonti rinnovabili, ma ha chiarito che tale principio non comporta il diritto di installare qualsiasi impianto in qualsiasi area. Gli obiettivi europei di decarbonizzazione e neutralità climatica devono essere perseguiti attraverso una pluralità di tecnologie e localizzazioni e non impongono necessariamente l’impiego di terreni agricoli per la realizzazione di impianti fotovoltaici con moduli a terra. Nel giudizio non era stato inoltre dimostrato che le limitazioni contestate fossero concretamente idonee a compromettere il raggiungimento degli obiettivi nazionali ed europei in materia di energia rinnovabile. </w:t>
      </w:r>
    </w:p>
    <w:p w14:paraId="5E57248A" w14:textId="77777777" w:rsidR="00BC4DA6" w:rsidRDefault="00BC4DA6" w:rsidP="00BC4DA6">
      <w:pPr>
        <w:spacing w:line="360" w:lineRule="auto"/>
        <w:jc w:val="both"/>
        <w:rPr>
          <w:rFonts w:ascii="Amasis MT Pro Light" w:hAnsi="Amasis MT Pro Light" w:cstheme="minorHAnsi"/>
        </w:rPr>
      </w:pPr>
    </w:p>
    <w:p w14:paraId="34EACB4F" w14:textId="77777777" w:rsidR="00BC4DA6"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La Corte ha quindi ribadito che </w:t>
      </w:r>
      <w:r w:rsidRPr="0076328C">
        <w:rPr>
          <w:rFonts w:ascii="Amasis MT Pro Light" w:hAnsi="Amasis MT Pro Light" w:cstheme="minorHAnsi"/>
          <w:u w:val="single"/>
        </w:rPr>
        <w:t>la promozione delle fonti rinnovabili</w:t>
      </w:r>
      <w:r w:rsidRPr="00987E87">
        <w:rPr>
          <w:rFonts w:ascii="Amasis MT Pro Light" w:hAnsi="Amasis MT Pro Light" w:cstheme="minorHAnsi"/>
        </w:rPr>
        <w:t xml:space="preserve">, pur rappresentando un interesse costituzionale ed europeo di primaria importanza, </w:t>
      </w:r>
      <w:r w:rsidRPr="0076328C">
        <w:rPr>
          <w:rFonts w:ascii="Amasis MT Pro Light" w:hAnsi="Amasis MT Pro Light" w:cstheme="minorHAnsi"/>
          <w:u w:val="single"/>
        </w:rPr>
        <w:t>non può assumere carattere assoluto né diventare un interesse “tiranno” rispetto agli altri valori tutelati dalla Costituzione</w:t>
      </w:r>
      <w:r w:rsidRPr="00987E87">
        <w:rPr>
          <w:rFonts w:ascii="Amasis MT Pro Light" w:hAnsi="Amasis MT Pro Light" w:cstheme="minorHAnsi"/>
        </w:rPr>
        <w:t xml:space="preserve">. La transizione energetica deve essere bilanciata con la protezione del paesaggio, del suolo, della biodiversità, degli ecosistemi, delle colture e della sicurezza alimentare. Il suolo agricolo costituisce infatti una risorsa limitata e non rinnovabile, essenziale non soltanto per </w:t>
      </w:r>
    </w:p>
    <w:p w14:paraId="7754E896" w14:textId="77777777" w:rsidR="00BC4DA6" w:rsidRDefault="00BC4DA6" w:rsidP="00BC4DA6">
      <w:pPr>
        <w:spacing w:line="360" w:lineRule="auto"/>
        <w:jc w:val="both"/>
        <w:rPr>
          <w:rFonts w:ascii="Amasis MT Pro Light" w:hAnsi="Amasis MT Pro Light" w:cstheme="minorHAnsi"/>
        </w:rPr>
      </w:pPr>
    </w:p>
    <w:p w14:paraId="313BF951" w14:textId="77777777" w:rsidR="00BC4DA6" w:rsidRDefault="00BC4DA6" w:rsidP="00BC4DA6">
      <w:pPr>
        <w:spacing w:line="360" w:lineRule="auto"/>
        <w:jc w:val="both"/>
        <w:rPr>
          <w:rFonts w:ascii="Amasis MT Pro Light" w:hAnsi="Amasis MT Pro Light" w:cstheme="minorHAnsi"/>
        </w:rPr>
      </w:pPr>
    </w:p>
    <w:p w14:paraId="50A2DB5F" w14:textId="0F6BAF97" w:rsidR="00A139EF"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la produzione alimentare, ma anche per la conservazione degli ecosistemi, la regolazione delle acque, la tutela della biodiversità e la capacità dei territori di adattarsi ai cambiamenti climatici. </w:t>
      </w:r>
    </w:p>
    <w:p w14:paraId="6C4BE223" w14:textId="77777777" w:rsidR="00A139EF" w:rsidRDefault="00A139EF" w:rsidP="00BC4DA6">
      <w:pPr>
        <w:spacing w:line="360" w:lineRule="auto"/>
        <w:jc w:val="both"/>
        <w:rPr>
          <w:rFonts w:ascii="Amasis MT Pro Light" w:hAnsi="Amasis MT Pro Light" w:cstheme="minorHAnsi"/>
        </w:rPr>
      </w:pPr>
    </w:p>
    <w:p w14:paraId="4FC99442" w14:textId="77777777" w:rsidR="00A139EF" w:rsidRDefault="00987E87" w:rsidP="00BC4DA6">
      <w:pPr>
        <w:spacing w:line="360" w:lineRule="auto"/>
        <w:jc w:val="both"/>
        <w:rPr>
          <w:rFonts w:ascii="Amasis MT Pro Light" w:hAnsi="Amasis MT Pro Light" w:cstheme="minorHAnsi"/>
        </w:rPr>
      </w:pPr>
      <w:r w:rsidRPr="00A139EF">
        <w:rPr>
          <w:rFonts w:ascii="Amasis MT Pro Light" w:hAnsi="Amasis MT Pro Light" w:cstheme="minorHAnsi"/>
          <w:u w:val="single"/>
        </w:rPr>
        <w:t>La tutela ambientale non coincide pertanto unicamente con la diffusione degli impianti da fonti rinnovabili, ma comprende anche la salvaguardia del territorio rurale e delle sue funzioni ecologiche e produttive</w:t>
      </w:r>
      <w:r w:rsidRPr="00987E87">
        <w:rPr>
          <w:rFonts w:ascii="Amasis MT Pro Light" w:hAnsi="Amasis MT Pro Light" w:cstheme="minorHAnsi"/>
        </w:rPr>
        <w:t>.</w:t>
      </w:r>
    </w:p>
    <w:p w14:paraId="5B15355F" w14:textId="77777777" w:rsidR="00BC4DA6" w:rsidRDefault="00BC4DA6" w:rsidP="00BC4DA6">
      <w:pPr>
        <w:spacing w:line="360" w:lineRule="auto"/>
        <w:jc w:val="both"/>
        <w:rPr>
          <w:rFonts w:ascii="Amasis MT Pro Light" w:hAnsi="Amasis MT Pro Light" w:cstheme="minorHAnsi"/>
        </w:rPr>
      </w:pPr>
    </w:p>
    <w:p w14:paraId="24F70C4F" w14:textId="377F1629" w:rsidR="0031258E"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 Secondo la Corte, la disciplina realizza un bilanciamento non irragionevole e proporzionato, poiché è diretta a proteggere il suolo agricolo, non impedisce in modo assoluto la produzione di energia solare e consente agli operatori di utilizzare tecnologie agrivoltaiche e ulteriori aree ammesse dalla legge</w:t>
      </w:r>
      <w:r w:rsidRPr="0031258E">
        <w:rPr>
          <w:rFonts w:ascii="Amasis MT Pro Light" w:hAnsi="Amasis MT Pro Light" w:cstheme="minorHAnsi"/>
          <w:u w:val="single"/>
        </w:rPr>
        <w:t>. È stata ritenuta legittima anche la scelta di applicare il divieto sulla base della classificazione urbanistica agricola dei terreni, senza subordinare la tutela alla verifica della loro effettiva coltivazione nel momento in cui viene presentato il progetto</w:t>
      </w:r>
      <w:r w:rsidRPr="00987E87">
        <w:rPr>
          <w:rFonts w:ascii="Amasis MT Pro Light" w:hAnsi="Amasis MT Pro Light" w:cstheme="minorHAnsi"/>
        </w:rPr>
        <w:t>. La classificazione urbanistica costituisce</w:t>
      </w:r>
      <w:r w:rsidR="00C66C5A">
        <w:rPr>
          <w:rFonts w:ascii="Amasis MT Pro Light" w:hAnsi="Amasis MT Pro Light" w:cstheme="minorHAnsi"/>
        </w:rPr>
        <w:t>,</w:t>
      </w:r>
      <w:r w:rsidRPr="00987E87">
        <w:rPr>
          <w:rFonts w:ascii="Amasis MT Pro Light" w:hAnsi="Amasis MT Pro Light" w:cstheme="minorHAnsi"/>
        </w:rPr>
        <w:t xml:space="preserve"> infatti</w:t>
      </w:r>
      <w:r w:rsidR="00C66C5A">
        <w:rPr>
          <w:rFonts w:ascii="Amasis MT Pro Light" w:hAnsi="Amasis MT Pro Light" w:cstheme="minorHAnsi"/>
        </w:rPr>
        <w:t>,</w:t>
      </w:r>
      <w:r w:rsidRPr="00987E87">
        <w:rPr>
          <w:rFonts w:ascii="Amasis MT Pro Light" w:hAnsi="Amasis MT Pro Light" w:cstheme="minorHAnsi"/>
        </w:rPr>
        <w:t xml:space="preserve"> un criterio giuridico stabile e conoscibile, mentre lo stato di abbandono, degrado o temporanea inutilizzazione rappresenta una condizione fattuale mutevole. La destinazione agricola tutela non soltanto l’utilizzazione presente del terreno, ma anche la sua vocazione e potenzialità futura, con la conseguenza che un fondo momentaneamente incolto può essere preservato per un successivo impiego agricolo. La tutela non riguarda esclusivamente le aree destinate a produzioni agricole di particolare pregio, quali le produzioni biologiche, DOP o IGP, ma anche i terreni utilizzati o utilizzabili per colture ordinarie e tradizionali, poiché anche queste concorrono alla produzione alimentare e alla conservazione del patrimonio agricolo nazionale. </w:t>
      </w:r>
    </w:p>
    <w:p w14:paraId="303946A7" w14:textId="77777777" w:rsidR="00BC4DA6" w:rsidRDefault="00BC4DA6" w:rsidP="00BC4DA6">
      <w:pPr>
        <w:spacing w:line="360" w:lineRule="auto"/>
        <w:jc w:val="both"/>
        <w:rPr>
          <w:rFonts w:ascii="Amasis MT Pro Light" w:hAnsi="Amasis MT Pro Light" w:cstheme="minorHAnsi"/>
        </w:rPr>
      </w:pPr>
    </w:p>
    <w:p w14:paraId="3B5B2B38" w14:textId="0FC2801C" w:rsidR="007C20D0"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La Corte ha</w:t>
      </w:r>
      <w:r w:rsidR="00C66C5A" w:rsidRPr="00C66C5A">
        <w:rPr>
          <w:rFonts w:ascii="Amasis MT Pro Light" w:hAnsi="Amasis MT Pro Light" w:cstheme="minorHAnsi"/>
        </w:rPr>
        <w:t xml:space="preserve"> </w:t>
      </w:r>
      <w:r w:rsidR="00C66C5A" w:rsidRPr="00987E87">
        <w:rPr>
          <w:rFonts w:ascii="Amasis MT Pro Light" w:hAnsi="Amasis MT Pro Light" w:cstheme="minorHAnsi"/>
        </w:rPr>
        <w:t>precisato</w:t>
      </w:r>
      <w:r w:rsidR="00C66C5A">
        <w:rPr>
          <w:rFonts w:ascii="Amasis MT Pro Light" w:hAnsi="Amasis MT Pro Light" w:cstheme="minorHAnsi"/>
        </w:rPr>
        <w:t>,</w:t>
      </w:r>
      <w:r w:rsidRPr="00987E87">
        <w:rPr>
          <w:rFonts w:ascii="Amasis MT Pro Light" w:hAnsi="Amasis MT Pro Light" w:cstheme="minorHAnsi"/>
        </w:rPr>
        <w:t xml:space="preserve"> infine</w:t>
      </w:r>
      <w:r w:rsidR="00C66C5A">
        <w:rPr>
          <w:rFonts w:ascii="Amasis MT Pro Light" w:hAnsi="Amasis MT Pro Light" w:cstheme="minorHAnsi"/>
        </w:rPr>
        <w:t>,</w:t>
      </w:r>
      <w:r w:rsidRPr="00987E87">
        <w:rPr>
          <w:rFonts w:ascii="Amasis MT Pro Light" w:hAnsi="Amasis MT Pro Light" w:cstheme="minorHAnsi"/>
        </w:rPr>
        <w:t xml:space="preserve"> che la sentenza riguarda la disciplina vigente al momento dell’adozione del decreto ministeriale del 21 giugno 2024. In applicazione del principio </w:t>
      </w:r>
      <w:r w:rsidRPr="007C20D0">
        <w:rPr>
          <w:rFonts w:ascii="Amasis MT Pro Light" w:hAnsi="Amasis MT Pro Light" w:cstheme="minorHAnsi"/>
          <w:i/>
          <w:iCs/>
        </w:rPr>
        <w:t xml:space="preserve">tempus </w:t>
      </w:r>
      <w:proofErr w:type="spellStart"/>
      <w:r w:rsidRPr="007C20D0">
        <w:rPr>
          <w:rFonts w:ascii="Amasis MT Pro Light" w:hAnsi="Amasis MT Pro Light" w:cstheme="minorHAnsi"/>
          <w:i/>
          <w:iCs/>
        </w:rPr>
        <w:t>regit</w:t>
      </w:r>
      <w:proofErr w:type="spellEnd"/>
      <w:r w:rsidRPr="007C20D0">
        <w:rPr>
          <w:rFonts w:ascii="Amasis MT Pro Light" w:hAnsi="Amasis MT Pro Light" w:cstheme="minorHAnsi"/>
          <w:i/>
          <w:iCs/>
        </w:rPr>
        <w:t xml:space="preserve"> </w:t>
      </w:r>
      <w:proofErr w:type="spellStart"/>
      <w:r w:rsidRPr="007C20D0">
        <w:rPr>
          <w:rFonts w:ascii="Amasis MT Pro Light" w:hAnsi="Amasis MT Pro Light" w:cstheme="minorHAnsi"/>
          <w:i/>
          <w:iCs/>
        </w:rPr>
        <w:t>actum</w:t>
      </w:r>
      <w:proofErr w:type="spellEnd"/>
      <w:r w:rsidRPr="007C20D0">
        <w:rPr>
          <w:rFonts w:ascii="Amasis MT Pro Light" w:hAnsi="Amasis MT Pro Light" w:cstheme="minorHAnsi"/>
          <w:i/>
          <w:iCs/>
        </w:rPr>
        <w:t>,</w:t>
      </w:r>
      <w:r w:rsidRPr="00987E87">
        <w:rPr>
          <w:rFonts w:ascii="Amasis MT Pro Light" w:hAnsi="Amasis MT Pro Light" w:cstheme="minorHAnsi"/>
        </w:rPr>
        <w:t xml:space="preserve"> la legittimità di tale decreto deve essere valutata sulla base delle norme esistenti al momento della sua emanazione, nonostante la successiva introduzione dell’articolo 11-bis del decreto legislativo n. 190 del 2024. La nuova disciplina, che ha ridefinito le condizioni di installazione degli impianti nelle aree agricole e ha introdotto specifici requisiti per gli impianti agrivoltaici, non è stata direttamente sottoposta al giudizio della Corte, ma è stata richiamata come conferma della </w:t>
      </w:r>
      <w:r w:rsidRPr="00C66C5A">
        <w:rPr>
          <w:rFonts w:ascii="Amasis MT Pro Light" w:hAnsi="Amasis MT Pro Light" w:cstheme="minorHAnsi"/>
          <w:b/>
          <w:bCs/>
        </w:rPr>
        <w:t>finalità di consentire la produzione di energia solare soltanto quando essa risulti effettivamente compatibile con la continuità delle attività agricole</w:t>
      </w:r>
      <w:r w:rsidRPr="00987E87">
        <w:rPr>
          <w:rFonts w:ascii="Amasis MT Pro Light" w:hAnsi="Amasis MT Pro Light" w:cstheme="minorHAnsi"/>
        </w:rPr>
        <w:t xml:space="preserve">. </w:t>
      </w:r>
    </w:p>
    <w:p w14:paraId="753ED49D" w14:textId="77777777" w:rsidR="00BC4DA6" w:rsidRDefault="00BC4DA6" w:rsidP="00BC4DA6">
      <w:pPr>
        <w:spacing w:line="360" w:lineRule="auto"/>
        <w:jc w:val="both"/>
        <w:rPr>
          <w:rFonts w:ascii="Amasis MT Pro Light" w:hAnsi="Amasis MT Pro Light" w:cstheme="minorHAnsi"/>
        </w:rPr>
      </w:pPr>
    </w:p>
    <w:p w14:paraId="6A77A33C" w14:textId="77777777" w:rsidR="00C66C5A"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Sul piano operativo, la pronuncia impone alle amministrazioni e agli operatori di valutare la sostanza del progetto e non la sua mera qualificazione formale, verificando se la collocazione dei moduli consenta concretamente l’utilizzazione agricola del terreno. </w:t>
      </w:r>
    </w:p>
    <w:p w14:paraId="7E8B685B" w14:textId="77777777" w:rsidR="00BC4DA6" w:rsidRDefault="00BC4DA6" w:rsidP="00BC4DA6">
      <w:pPr>
        <w:spacing w:line="360" w:lineRule="auto"/>
        <w:jc w:val="both"/>
        <w:rPr>
          <w:rFonts w:ascii="Amasis MT Pro Light" w:hAnsi="Amasis MT Pro Light" w:cstheme="minorHAnsi"/>
        </w:rPr>
      </w:pPr>
    </w:p>
    <w:p w14:paraId="48664D53" w14:textId="77777777" w:rsidR="00BC4DA6" w:rsidRDefault="00BC4DA6" w:rsidP="00BC4DA6">
      <w:pPr>
        <w:spacing w:line="360" w:lineRule="auto"/>
        <w:jc w:val="both"/>
        <w:rPr>
          <w:rFonts w:ascii="Amasis MT Pro Light" w:hAnsi="Amasis MT Pro Light" w:cstheme="minorHAnsi"/>
        </w:rPr>
      </w:pPr>
    </w:p>
    <w:p w14:paraId="05920564" w14:textId="77777777" w:rsidR="00BC4DA6" w:rsidRDefault="00BC4DA6" w:rsidP="00BC4DA6">
      <w:pPr>
        <w:spacing w:line="360" w:lineRule="auto"/>
        <w:jc w:val="both"/>
        <w:rPr>
          <w:rFonts w:ascii="Amasis MT Pro Light" w:hAnsi="Amasis MT Pro Light" w:cstheme="minorHAnsi"/>
        </w:rPr>
      </w:pPr>
    </w:p>
    <w:p w14:paraId="77911BC2" w14:textId="77777777" w:rsidR="00BC4DA6" w:rsidRDefault="00BC4DA6" w:rsidP="00BC4DA6">
      <w:pPr>
        <w:spacing w:line="360" w:lineRule="auto"/>
        <w:jc w:val="both"/>
        <w:rPr>
          <w:rFonts w:ascii="Amasis MT Pro Light" w:hAnsi="Amasis MT Pro Light" w:cstheme="minorHAnsi"/>
        </w:rPr>
      </w:pPr>
    </w:p>
    <w:p w14:paraId="76A30BBD" w14:textId="4DE57A49" w:rsidR="00987E87" w:rsidRPr="00C81089" w:rsidRDefault="00987E87" w:rsidP="00BC4DA6">
      <w:pPr>
        <w:spacing w:line="360" w:lineRule="auto"/>
        <w:jc w:val="both"/>
        <w:rPr>
          <w:rFonts w:ascii="Amasis MT Pro Light" w:hAnsi="Amasis MT Pro Light" w:cstheme="minorHAnsi"/>
        </w:rPr>
      </w:pPr>
      <w:r w:rsidRPr="00987E87">
        <w:rPr>
          <w:rFonts w:ascii="Amasis MT Pro Light" w:hAnsi="Amasis MT Pro Light" w:cstheme="minorHAnsi"/>
        </w:rPr>
        <w:t xml:space="preserve">La sentenza </w:t>
      </w:r>
      <w:r w:rsidR="007C20D0" w:rsidRPr="00987E87">
        <w:rPr>
          <w:rFonts w:ascii="Amasis MT Pro Light" w:hAnsi="Amasis MT Pro Light" w:cstheme="minorHAnsi"/>
        </w:rPr>
        <w:t>consolida, pertanto,</w:t>
      </w:r>
      <w:r w:rsidRPr="00987E87">
        <w:rPr>
          <w:rFonts w:ascii="Amasis MT Pro Light" w:hAnsi="Amasis MT Pro Light" w:cstheme="minorHAnsi"/>
        </w:rPr>
        <w:t xml:space="preserve"> il principio secondo cui </w:t>
      </w:r>
      <w:r w:rsidRPr="00C81089">
        <w:rPr>
          <w:rFonts w:ascii="Amasis MT Pro Light" w:hAnsi="Amasis MT Pro Light" w:cstheme="minorHAnsi"/>
        </w:rPr>
        <w:t>la massima diffusione delle fonti rinnovabili non equivale alla massima occupazione possibile del suolo agricolo: la transizione energetica deve procedere attraverso soluzioni tecnologiche e localizzative capaci di conciliare la produzione di energia pulita con la tutela del territorio, della biodiversità, dell’agricoltura e della sicurezza alimentare.</w:t>
      </w:r>
      <w:bookmarkEnd w:id="4"/>
    </w:p>
    <w:p w14:paraId="60435A6D" w14:textId="77777777" w:rsidR="00C81089" w:rsidRDefault="00C81089" w:rsidP="00BC4DA6">
      <w:pPr>
        <w:pStyle w:val="Normale1"/>
        <w:spacing w:line="360" w:lineRule="auto"/>
        <w:jc w:val="both"/>
        <w:rPr>
          <w:rFonts w:ascii="Amasis MT Pro Light" w:hAnsi="Amasis MT Pro Light"/>
        </w:rPr>
      </w:pPr>
    </w:p>
    <w:p w14:paraId="4B48A45C" w14:textId="58A54D48" w:rsidR="00044C0A" w:rsidRDefault="00044C0A" w:rsidP="00BC4DA6">
      <w:pPr>
        <w:pStyle w:val="Normale1"/>
        <w:spacing w:line="360" w:lineRule="auto"/>
        <w:jc w:val="both"/>
      </w:pPr>
      <w:r w:rsidRPr="00290244">
        <w:rPr>
          <w:rFonts w:ascii="Amasis MT Pro Light" w:hAnsi="Amasis MT Pro Light"/>
        </w:rPr>
        <w:t xml:space="preserve">Alla luce della pronuncia della Corte costituzionale sopra richiamata, restano ferme le perplessità della Confederazione, già rappresentate nelle competenti sedi istituzionali, sugli effetti della disposizione oggetto del giudizio di legittimità costituzionale. Tale disciplina, infatti, finisce per impedire alle aziende agricole la realizzazione di piccoli impianti fotovoltaici a terra, possibilità in precedenza ammessa in alcune regioni, e limita </w:t>
      </w:r>
      <w:r w:rsidR="00143DFD" w:rsidRPr="00290244">
        <w:rPr>
          <w:rFonts w:ascii="Amasis MT Pro Light" w:hAnsi="Amasis MT Pro Light"/>
        </w:rPr>
        <w:t xml:space="preserve">inoltre </w:t>
      </w:r>
      <w:r w:rsidRPr="00290244">
        <w:rPr>
          <w:rFonts w:ascii="Amasis MT Pro Light" w:hAnsi="Amasis MT Pro Light"/>
        </w:rPr>
        <w:t xml:space="preserve">l’installazione di impianti destinati a soddisfare esigenze di autoconsumo. Occorre </w:t>
      </w:r>
      <w:r w:rsidR="00143DFD" w:rsidRPr="00290244">
        <w:rPr>
          <w:rFonts w:ascii="Amasis MT Pro Light" w:hAnsi="Amasis MT Pro Light"/>
        </w:rPr>
        <w:t xml:space="preserve">altresì </w:t>
      </w:r>
      <w:r w:rsidRPr="00290244">
        <w:rPr>
          <w:rFonts w:ascii="Amasis MT Pro Light" w:hAnsi="Amasis MT Pro Light"/>
        </w:rPr>
        <w:t>considerare che il divieto, applicato indistintamente a tutte le aree agricole, senza distinguere tra terreni produttivi, marginali o abbandonati, rischia di aumentare la pressione del fotovoltaico sulle sole aree agricole individuate come idonee o comunque ammesse all’installazione di impianti fotovoltaici nelle diverse forme.</w:t>
      </w:r>
    </w:p>
    <w:p w14:paraId="6E508EA9" w14:textId="77777777" w:rsidR="00C66C5A" w:rsidRDefault="00C66C5A" w:rsidP="00BC4DA6">
      <w:pPr>
        <w:spacing w:line="360" w:lineRule="auto"/>
        <w:jc w:val="both"/>
        <w:rPr>
          <w:rFonts w:ascii="Amasis MT Pro Light" w:hAnsi="Amasis MT Pro Light" w:cstheme="minorHAnsi"/>
        </w:rPr>
      </w:pPr>
    </w:p>
    <w:p w14:paraId="396F4770" w14:textId="237DCE06" w:rsidR="00C66C5A" w:rsidRDefault="00C66C5A" w:rsidP="00BC4DA6">
      <w:pPr>
        <w:spacing w:line="360" w:lineRule="auto"/>
        <w:jc w:val="both"/>
        <w:rPr>
          <w:rFonts w:ascii="Amasis MT Pro Light" w:hAnsi="Amasis MT Pro Light" w:cstheme="minorHAnsi"/>
        </w:rPr>
      </w:pPr>
      <w:r w:rsidRPr="00C66C5A">
        <w:rPr>
          <w:rFonts w:ascii="Amasis MT Pro Light" w:hAnsi="Amasis MT Pro Light" w:cstheme="minorHAnsi"/>
        </w:rPr>
        <w:t>Cordiali saluti.</w:t>
      </w:r>
    </w:p>
    <w:p w14:paraId="213B92A4" w14:textId="77777777" w:rsidR="00BC4DA6" w:rsidRDefault="00BC4DA6" w:rsidP="00BC4DA6">
      <w:pPr>
        <w:spacing w:line="360" w:lineRule="auto"/>
        <w:jc w:val="both"/>
        <w:rPr>
          <w:rFonts w:ascii="Amasis MT Pro Light" w:hAnsi="Amasis MT Pro Light" w:cstheme="minorHAnsi"/>
        </w:rPr>
      </w:pPr>
    </w:p>
    <w:p w14:paraId="00713ABD" w14:textId="77777777" w:rsidR="00BC4DA6" w:rsidRDefault="00BC4DA6" w:rsidP="00BC4DA6">
      <w:pPr>
        <w:spacing w:line="360" w:lineRule="auto"/>
        <w:jc w:val="both"/>
        <w:rPr>
          <w:rFonts w:ascii="Amasis MT Pro Light" w:hAnsi="Amasis MT Pro Light" w:cstheme="minorHAnsi"/>
        </w:rPr>
      </w:pPr>
    </w:p>
    <w:p w14:paraId="0BAD6534" w14:textId="77777777" w:rsidR="00BC4DA6" w:rsidRDefault="00BC4DA6" w:rsidP="00BC4DA6">
      <w:pPr>
        <w:spacing w:line="360" w:lineRule="auto"/>
        <w:jc w:val="both"/>
        <w:rPr>
          <w:rFonts w:ascii="Amasis MT Pro Light" w:hAnsi="Amasis MT Pro Light" w:cstheme="minorHAnsi"/>
        </w:rPr>
      </w:pPr>
    </w:p>
    <w:p w14:paraId="58220423" w14:textId="2646A3A7" w:rsidR="00BC4DA6" w:rsidRDefault="00BC4DA6" w:rsidP="00B03681">
      <w:pPr>
        <w:spacing w:line="360" w:lineRule="auto"/>
        <w:jc w:val="both"/>
        <w:rPr>
          <w:rFonts w:ascii="Amasis MT Pro Light" w:hAnsi="Amasis MT Pro Light" w:cstheme="minorHAnsi"/>
        </w:rPr>
      </w:pPr>
      <w:r>
        <w:rPr>
          <w:rFonts w:ascii="Amasis MT Pro Light" w:hAnsi="Amasis MT Pro Light" w:cstheme="minorHAnsi"/>
        </w:rPr>
        <w:tab/>
      </w:r>
      <w:r>
        <w:rPr>
          <w:rFonts w:ascii="Amasis MT Pro Light" w:hAnsi="Amasis MT Pro Light" w:cstheme="minorHAnsi"/>
        </w:rPr>
        <w:tab/>
      </w:r>
      <w:r>
        <w:rPr>
          <w:rFonts w:ascii="Amasis MT Pro Light" w:hAnsi="Amasis MT Pro Light" w:cstheme="minorHAnsi"/>
        </w:rPr>
        <w:tab/>
      </w:r>
      <w:r>
        <w:rPr>
          <w:rFonts w:ascii="Amasis MT Pro Light" w:hAnsi="Amasis MT Pro Light" w:cstheme="minorHAnsi"/>
        </w:rPr>
        <w:tab/>
      </w:r>
      <w:r>
        <w:rPr>
          <w:rFonts w:ascii="Amasis MT Pro Light" w:hAnsi="Amasis MT Pro Light" w:cstheme="minorHAnsi"/>
        </w:rPr>
        <w:tab/>
      </w:r>
      <w:r>
        <w:rPr>
          <w:rFonts w:ascii="Amasis MT Pro Light" w:hAnsi="Amasis MT Pro Light" w:cstheme="minorHAnsi"/>
        </w:rPr>
        <w:tab/>
      </w:r>
      <w:r>
        <w:rPr>
          <w:rFonts w:ascii="Amasis MT Pro Light" w:hAnsi="Amasis MT Pro Light" w:cstheme="minorHAnsi"/>
        </w:rPr>
        <w:tab/>
      </w:r>
      <w:r>
        <w:rPr>
          <w:rFonts w:ascii="Amasis MT Pro Light" w:hAnsi="Amasis MT Pro Light" w:cstheme="minorHAnsi"/>
        </w:rPr>
        <w:tab/>
      </w:r>
      <w:r w:rsidR="00314E99" w:rsidRPr="006F03AE">
        <w:rPr>
          <w:noProof/>
        </w:rPr>
        <w:drawing>
          <wp:inline distT="0" distB="0" distL="0" distR="0" wp14:anchorId="7F00FE41" wp14:editId="6426F37B">
            <wp:extent cx="2484120" cy="1318260"/>
            <wp:effectExtent l="0" t="0" r="0" b="0"/>
            <wp:docPr id="148473915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739155" name="Immagine 5"/>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84120" cy="1318260"/>
                    </a:xfrm>
                    <a:prstGeom prst="rect">
                      <a:avLst/>
                    </a:prstGeom>
                    <a:noFill/>
                    <a:ln>
                      <a:noFill/>
                    </a:ln>
                  </pic:spPr>
                </pic:pic>
              </a:graphicData>
            </a:graphic>
          </wp:inline>
        </w:drawing>
      </w:r>
      <w:r>
        <w:rPr>
          <w:rFonts w:ascii="Amasis MT Pro Light" w:hAnsi="Amasis MT Pro Light" w:cstheme="minorHAnsi"/>
        </w:rPr>
        <w:tab/>
      </w:r>
    </w:p>
    <w:p w14:paraId="67ADB180" w14:textId="77777777" w:rsidR="00BC4DA6" w:rsidRDefault="00BC4DA6" w:rsidP="00BC4DA6">
      <w:pPr>
        <w:spacing w:line="360" w:lineRule="auto"/>
        <w:jc w:val="both"/>
        <w:rPr>
          <w:rFonts w:ascii="Amasis MT Pro Light" w:hAnsi="Amasis MT Pro Light" w:cstheme="minorHAnsi"/>
        </w:rPr>
      </w:pPr>
    </w:p>
    <w:p w14:paraId="03B9F48F" w14:textId="77777777" w:rsidR="00BC4DA6" w:rsidRDefault="00BC4DA6" w:rsidP="00BC4DA6">
      <w:pPr>
        <w:spacing w:line="360" w:lineRule="auto"/>
        <w:jc w:val="both"/>
        <w:rPr>
          <w:rFonts w:ascii="Amasis MT Pro Light" w:hAnsi="Amasis MT Pro Light" w:cstheme="minorHAnsi"/>
        </w:rPr>
      </w:pPr>
    </w:p>
    <w:p w14:paraId="0A6026C1" w14:textId="77777777" w:rsidR="00BC4DA6" w:rsidRDefault="00BC4DA6" w:rsidP="00BC4DA6">
      <w:pPr>
        <w:spacing w:line="360" w:lineRule="auto"/>
        <w:jc w:val="both"/>
        <w:rPr>
          <w:rFonts w:ascii="Amasis MT Pro Light" w:hAnsi="Amasis MT Pro Light" w:cstheme="minorHAnsi"/>
        </w:rPr>
      </w:pPr>
    </w:p>
    <w:p w14:paraId="6D77888B" w14:textId="273C72E9" w:rsidR="00BC4DA6" w:rsidRPr="00C66C5A" w:rsidRDefault="00BC4DA6" w:rsidP="00BC4DA6">
      <w:pPr>
        <w:spacing w:line="360" w:lineRule="auto"/>
        <w:jc w:val="both"/>
        <w:rPr>
          <w:rFonts w:ascii="Amasis MT Pro Light" w:hAnsi="Amasis MT Pro Light" w:cstheme="minorHAnsi"/>
        </w:rPr>
      </w:pPr>
      <w:r>
        <w:rPr>
          <w:rFonts w:ascii="Amasis MT Pro Light" w:hAnsi="Amasis MT Pro Light" w:cstheme="minorHAnsi"/>
        </w:rPr>
        <w:t>1 allegato</w:t>
      </w:r>
    </w:p>
    <w:p w14:paraId="2F6CFA9E" w14:textId="0DB08EF8" w:rsidR="0027569D" w:rsidRPr="00FE06CE" w:rsidRDefault="0027569D" w:rsidP="00BC4DA6">
      <w:pPr>
        <w:spacing w:line="360" w:lineRule="auto"/>
        <w:jc w:val="both"/>
        <w:rPr>
          <w:rFonts w:ascii="Aptos" w:hAnsi="Aptos" w:cstheme="minorHAnsi"/>
        </w:rPr>
      </w:pPr>
      <w:r>
        <w:rPr>
          <w:rFonts w:ascii="Aptos" w:hAnsi="Aptos" w:cstheme="minorHAnsi"/>
        </w:rPr>
        <w:t xml:space="preserve">                                    </w:t>
      </w:r>
      <w:r w:rsidR="00976A34">
        <w:rPr>
          <w:rFonts w:ascii="Aptos" w:hAnsi="Aptos" w:cstheme="minorHAnsi"/>
        </w:rPr>
        <w:tab/>
      </w:r>
      <w:r w:rsidR="00976A34">
        <w:rPr>
          <w:rFonts w:ascii="Aptos" w:hAnsi="Aptos" w:cstheme="minorHAnsi"/>
        </w:rPr>
        <w:tab/>
      </w:r>
      <w:r w:rsidR="00976A34">
        <w:rPr>
          <w:rFonts w:ascii="Aptos" w:hAnsi="Aptos" w:cstheme="minorHAnsi"/>
        </w:rPr>
        <w:tab/>
      </w:r>
      <w:r w:rsidR="00976A34">
        <w:rPr>
          <w:rFonts w:ascii="Aptos" w:hAnsi="Aptos" w:cstheme="minorHAnsi"/>
        </w:rPr>
        <w:tab/>
      </w:r>
      <w:r w:rsidR="00976A34">
        <w:rPr>
          <w:rFonts w:ascii="Aptos" w:hAnsi="Aptos" w:cstheme="minorHAnsi"/>
        </w:rPr>
        <w:tab/>
      </w:r>
      <w:r>
        <w:rPr>
          <w:rFonts w:ascii="Aptos" w:hAnsi="Aptos" w:cstheme="minorHAnsi"/>
        </w:rPr>
        <w:t xml:space="preserve">                </w:t>
      </w:r>
    </w:p>
    <w:sectPr w:rsidR="0027569D" w:rsidRPr="00FE06CE">
      <w:headerReference w:type="default" r:id="rId22"/>
      <w:footerReference w:type="default" r:id="rId23"/>
      <w:pgSz w:w="11910" w:h="16840"/>
      <w:pgMar w:top="1260" w:right="1020" w:bottom="1200" w:left="880" w:header="569"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7052E" w14:textId="77777777" w:rsidR="007C4BFA" w:rsidRDefault="007C4BFA">
      <w:r>
        <w:separator/>
      </w:r>
    </w:p>
  </w:endnote>
  <w:endnote w:type="continuationSeparator" w:id="0">
    <w:p w14:paraId="71C2C5B5" w14:textId="77777777" w:rsidR="007C4BFA" w:rsidRDefault="007C4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badi ExtraLight">
    <w:charset w:val="00"/>
    <w:family w:val="swiss"/>
    <w:pitch w:val="variable"/>
    <w:sig w:usb0="80000003" w:usb1="00000000" w:usb2="00000000" w:usb3="00000000" w:csb0="00000093" w:csb1="00000000"/>
  </w:font>
  <w:font w:name="Amasis MT Pro Light">
    <w:charset w:val="00"/>
    <w:family w:val="roman"/>
    <w:pitch w:val="variable"/>
    <w:sig w:usb0="A00000AF" w:usb1="4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30F6" w14:textId="77777777" w:rsidR="00C81089" w:rsidRDefault="00C81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C67F" w14:textId="77777777" w:rsidR="00C81089" w:rsidRDefault="00C81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EEBD" w14:textId="77777777" w:rsidR="00C81089" w:rsidRDefault="00C81089">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37C5" w14:textId="332FA4A7" w:rsidR="00835A58" w:rsidRDefault="00103476">
    <w:pPr>
      <w:pStyle w:val="Corpotesto"/>
      <w:spacing w:line="14" w:lineRule="auto"/>
      <w:rPr>
        <w:sz w:val="20"/>
      </w:rPr>
    </w:pPr>
    <w:r>
      <w:rPr>
        <w:noProof/>
        <w:lang w:eastAsia="it-IT"/>
      </w:rPr>
      <mc:AlternateContent>
        <mc:Choice Requires="wps">
          <w:drawing>
            <wp:anchor distT="0" distB="0" distL="114300" distR="114300" simplePos="0" relativeHeight="251658240" behindDoc="1" locked="0" layoutInCell="1" allowOverlap="1" wp14:anchorId="4575475C" wp14:editId="5A84C969">
              <wp:simplePos x="0" y="0"/>
              <wp:positionH relativeFrom="page">
                <wp:posOffset>6732905</wp:posOffset>
              </wp:positionH>
              <wp:positionV relativeFrom="page">
                <wp:posOffset>9914890</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F3441" w14:textId="77777777" w:rsidR="00835A58" w:rsidRDefault="00197FA0">
                          <w:pPr>
                            <w:pStyle w:val="Corpotesto"/>
                            <w:spacing w:line="245" w:lineRule="exact"/>
                            <w:ind w:left="60"/>
                          </w:pPr>
                          <w:r>
                            <w:fldChar w:fldCharType="begin"/>
                          </w:r>
                          <w:r>
                            <w:instrText xml:space="preserve"> PAGE </w:instrText>
                          </w:r>
                          <w:r>
                            <w:fldChar w:fldCharType="separate"/>
                          </w:r>
                          <w:r w:rsidR="000D1587">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75475C" id="_x0000_t202" coordsize="21600,21600" o:spt="202" path="m,l,21600r21600,l21600,xe">
              <v:stroke joinstyle="miter"/>
              <v:path gradientshapeok="t" o:connecttype="rect"/>
            </v:shapetype>
            <v:shape id="Text Box 1" o:spid="_x0000_s1027" type="#_x0000_t202" style="position:absolute;margin-left:530.15pt;margin-top:780.7pt;width:11.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BN9Bi/4gAAAA8BAAAPAAAAZHJzL2Rvd25yZXYueG1sTI/BTsMwEETvSPyDtUjcqF1KQprGqSoE&#10;JyTUNBw4Osk2sRqvQ+y24e9xTnDb2R3Nvsm2k+nZBUenLUlYLgQwpNo2mloJn+XbQwLMeUWN6i2h&#10;hB90sM1vbzKVNvZKBV4OvmUhhFyqJHTeDynnru7QKLewA1K4He1olA9ybHkzqmsINz1/FCLmRmkK&#10;Hzo14EuH9elwNhJ2X1S86u+Pal8cC12Wa0Hv8UnK+7tptwHmcfJ/ZpjxAzrkgamyZ2oc64MWsVgF&#10;b5iiePkEbPaIZBUBq+Zd8hwBzzP+v0f+CwAA//8DAFBLAQItABQABgAIAAAAIQC2gziS/gAAAOEB&#10;AAATAAAAAAAAAAAAAAAAAAAAAABbQ29udGVudF9UeXBlc10ueG1sUEsBAi0AFAAGAAgAAAAhADj9&#10;If/WAAAAlAEAAAsAAAAAAAAAAAAAAAAALwEAAF9yZWxzLy5yZWxzUEsBAi0AFAAGAAgAAAAhAJyM&#10;soLVAQAAkAMAAA4AAAAAAAAAAAAAAAAALgIAAGRycy9lMm9Eb2MueG1sUEsBAi0AFAAGAAgAAAAh&#10;AE30GL/iAAAADwEAAA8AAAAAAAAAAAAAAAAALwQAAGRycy9kb3ducmV2LnhtbFBLBQYAAAAABAAE&#10;APMAAAA+BQAAAAA=&#10;" filled="f" stroked="f">
              <v:textbox inset="0,0,0,0">
                <w:txbxContent>
                  <w:p w14:paraId="542F3441" w14:textId="77777777" w:rsidR="00835A58" w:rsidRDefault="00197FA0">
                    <w:pPr>
                      <w:pStyle w:val="Corpotesto"/>
                      <w:spacing w:line="245" w:lineRule="exact"/>
                      <w:ind w:left="60"/>
                    </w:pPr>
                    <w:r>
                      <w:fldChar w:fldCharType="begin"/>
                    </w:r>
                    <w:r>
                      <w:instrText xml:space="preserve"> PAGE </w:instrText>
                    </w:r>
                    <w:r>
                      <w:fldChar w:fldCharType="separate"/>
                    </w:r>
                    <w:r w:rsidR="000D1587">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550D4" w14:textId="77777777" w:rsidR="007C4BFA" w:rsidRDefault="007C4BFA">
      <w:r>
        <w:separator/>
      </w:r>
    </w:p>
  </w:footnote>
  <w:footnote w:type="continuationSeparator" w:id="0">
    <w:p w14:paraId="788DFD70" w14:textId="77777777" w:rsidR="007C4BFA" w:rsidRDefault="007C4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BDE9B" w14:textId="77777777" w:rsidR="00C81089" w:rsidRDefault="00C81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7F3C" w14:textId="77777777" w:rsidR="00C81089" w:rsidRDefault="00C81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E130" w14:textId="77777777" w:rsidR="00C81089" w:rsidRDefault="00C81089">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80A2" w14:textId="77777777" w:rsidR="00835A58" w:rsidRDefault="00197FA0">
    <w:pPr>
      <w:pStyle w:val="Corpotesto"/>
      <w:spacing w:line="14" w:lineRule="auto"/>
      <w:rPr>
        <w:sz w:val="20"/>
      </w:rPr>
    </w:pPr>
    <w:r>
      <w:rPr>
        <w:noProof/>
        <w:lang w:eastAsia="it-IT"/>
      </w:rPr>
      <w:drawing>
        <wp:anchor distT="0" distB="0" distL="0" distR="0" simplePos="0" relativeHeight="251657216" behindDoc="1" locked="0" layoutInCell="1" allowOverlap="1" wp14:anchorId="57249AF9" wp14:editId="325A18C7">
          <wp:simplePos x="0" y="0"/>
          <wp:positionH relativeFrom="page">
            <wp:posOffset>4800600</wp:posOffset>
          </wp:positionH>
          <wp:positionV relativeFrom="page">
            <wp:posOffset>361188</wp:posOffset>
          </wp:positionV>
          <wp:extent cx="2040635" cy="446532"/>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2040635" cy="4465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visibility:visible;mso-wrap-style:square" o:bullet="t">
        <v:imagedata r:id="rId1" o:title="mso5DB1"/>
      </v:shape>
    </w:pict>
  </w:numPicBullet>
  <w:abstractNum w:abstractNumId="0" w15:restartNumberingAfterBreak="0">
    <w:nsid w:val="169F1492"/>
    <w:multiLevelType w:val="hybridMultilevel"/>
    <w:tmpl w:val="73C6E858"/>
    <w:lvl w:ilvl="0" w:tplc="1910F324">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8035DC6"/>
    <w:multiLevelType w:val="multilevel"/>
    <w:tmpl w:val="597A2D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FC3155B"/>
    <w:multiLevelType w:val="hybridMultilevel"/>
    <w:tmpl w:val="D212B2A4"/>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E185E2B"/>
    <w:multiLevelType w:val="hybridMultilevel"/>
    <w:tmpl w:val="AF863DFC"/>
    <w:lvl w:ilvl="0" w:tplc="5C4AE31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C75213"/>
    <w:multiLevelType w:val="hybridMultilevel"/>
    <w:tmpl w:val="84EA982A"/>
    <w:lvl w:ilvl="0" w:tplc="1C589EF4">
      <w:numFmt w:val="bullet"/>
      <w:lvlText w:val="-"/>
      <w:lvlJc w:val="left"/>
      <w:pPr>
        <w:ind w:left="720" w:hanging="360"/>
      </w:pPr>
      <w:rPr>
        <w:rFonts w:ascii="Aptos" w:eastAsia="Calibri" w:hAnsi="Apto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C8A5817"/>
    <w:multiLevelType w:val="hybridMultilevel"/>
    <w:tmpl w:val="6A1E8D6E"/>
    <w:lvl w:ilvl="0" w:tplc="9EB87D0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75722B1"/>
    <w:multiLevelType w:val="hybridMultilevel"/>
    <w:tmpl w:val="D804A4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18136411">
    <w:abstractNumId w:val="5"/>
  </w:num>
  <w:num w:numId="2" w16cid:durableId="15976374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79256">
    <w:abstractNumId w:val="0"/>
  </w:num>
  <w:num w:numId="4" w16cid:durableId="244459529">
    <w:abstractNumId w:val="4"/>
  </w:num>
  <w:num w:numId="5" w16cid:durableId="563568216">
    <w:abstractNumId w:val="3"/>
  </w:num>
  <w:num w:numId="6" w16cid:durableId="105851238">
    <w:abstractNumId w:val="6"/>
  </w:num>
  <w:num w:numId="7" w16cid:durableId="3215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A58"/>
    <w:rsid w:val="00025620"/>
    <w:rsid w:val="00037867"/>
    <w:rsid w:val="00044C0A"/>
    <w:rsid w:val="00045B5F"/>
    <w:rsid w:val="00053A79"/>
    <w:rsid w:val="000657DC"/>
    <w:rsid w:val="000739E0"/>
    <w:rsid w:val="00074E09"/>
    <w:rsid w:val="000C240C"/>
    <w:rsid w:val="000D1587"/>
    <w:rsid w:val="000E3B2A"/>
    <w:rsid w:val="000E62B9"/>
    <w:rsid w:val="000F44CF"/>
    <w:rsid w:val="00103476"/>
    <w:rsid w:val="00104C38"/>
    <w:rsid w:val="00111A63"/>
    <w:rsid w:val="0013503E"/>
    <w:rsid w:val="001370B2"/>
    <w:rsid w:val="00137A09"/>
    <w:rsid w:val="00143DFD"/>
    <w:rsid w:val="001510AE"/>
    <w:rsid w:val="00153BB8"/>
    <w:rsid w:val="001559DB"/>
    <w:rsid w:val="00162CEF"/>
    <w:rsid w:val="00175F2F"/>
    <w:rsid w:val="0019786F"/>
    <w:rsid w:val="00197FA0"/>
    <w:rsid w:val="001A053B"/>
    <w:rsid w:val="001C2813"/>
    <w:rsid w:val="001E5A1B"/>
    <w:rsid w:val="001E5D53"/>
    <w:rsid w:val="00223B9D"/>
    <w:rsid w:val="002320E7"/>
    <w:rsid w:val="00247C2D"/>
    <w:rsid w:val="002547C1"/>
    <w:rsid w:val="00273E8C"/>
    <w:rsid w:val="002740D2"/>
    <w:rsid w:val="002744DF"/>
    <w:rsid w:val="0027569D"/>
    <w:rsid w:val="00282020"/>
    <w:rsid w:val="00282ABC"/>
    <w:rsid w:val="00290244"/>
    <w:rsid w:val="002915A7"/>
    <w:rsid w:val="002950C1"/>
    <w:rsid w:val="002A12A7"/>
    <w:rsid w:val="002A2491"/>
    <w:rsid w:val="002B26D4"/>
    <w:rsid w:val="002B3686"/>
    <w:rsid w:val="002B62BD"/>
    <w:rsid w:val="002C3A67"/>
    <w:rsid w:val="002C6149"/>
    <w:rsid w:val="002E1D94"/>
    <w:rsid w:val="0031258E"/>
    <w:rsid w:val="00313DC7"/>
    <w:rsid w:val="00314E99"/>
    <w:rsid w:val="00316A19"/>
    <w:rsid w:val="003263B4"/>
    <w:rsid w:val="00331E1D"/>
    <w:rsid w:val="00364DFB"/>
    <w:rsid w:val="0037583E"/>
    <w:rsid w:val="003806AF"/>
    <w:rsid w:val="00392BF7"/>
    <w:rsid w:val="00393FA6"/>
    <w:rsid w:val="003A249F"/>
    <w:rsid w:val="003A3EC6"/>
    <w:rsid w:val="003C7D75"/>
    <w:rsid w:val="003D2A4C"/>
    <w:rsid w:val="003E118A"/>
    <w:rsid w:val="003E3666"/>
    <w:rsid w:val="003F1258"/>
    <w:rsid w:val="003F34C8"/>
    <w:rsid w:val="00401D91"/>
    <w:rsid w:val="00405387"/>
    <w:rsid w:val="00406135"/>
    <w:rsid w:val="00417154"/>
    <w:rsid w:val="004172BF"/>
    <w:rsid w:val="004245ED"/>
    <w:rsid w:val="00456017"/>
    <w:rsid w:val="00456DFC"/>
    <w:rsid w:val="00460C0C"/>
    <w:rsid w:val="00485B9B"/>
    <w:rsid w:val="00494B01"/>
    <w:rsid w:val="004B12E7"/>
    <w:rsid w:val="004B264C"/>
    <w:rsid w:val="004B2AE7"/>
    <w:rsid w:val="004C3F77"/>
    <w:rsid w:val="004D0B94"/>
    <w:rsid w:val="004E0621"/>
    <w:rsid w:val="004F4C3E"/>
    <w:rsid w:val="004F5F9C"/>
    <w:rsid w:val="00527404"/>
    <w:rsid w:val="005316A8"/>
    <w:rsid w:val="00531A07"/>
    <w:rsid w:val="00532454"/>
    <w:rsid w:val="005324C2"/>
    <w:rsid w:val="005560E5"/>
    <w:rsid w:val="00557769"/>
    <w:rsid w:val="00561152"/>
    <w:rsid w:val="00580B53"/>
    <w:rsid w:val="0059326D"/>
    <w:rsid w:val="00593A29"/>
    <w:rsid w:val="00594958"/>
    <w:rsid w:val="00596F8F"/>
    <w:rsid w:val="005C3C23"/>
    <w:rsid w:val="005C5434"/>
    <w:rsid w:val="005D3033"/>
    <w:rsid w:val="005E7475"/>
    <w:rsid w:val="005F36A9"/>
    <w:rsid w:val="005F7B7A"/>
    <w:rsid w:val="006119F8"/>
    <w:rsid w:val="0061636B"/>
    <w:rsid w:val="006239BA"/>
    <w:rsid w:val="00636F65"/>
    <w:rsid w:val="006406FE"/>
    <w:rsid w:val="006409DE"/>
    <w:rsid w:val="006450BB"/>
    <w:rsid w:val="006517BF"/>
    <w:rsid w:val="006678D0"/>
    <w:rsid w:val="00667B93"/>
    <w:rsid w:val="00682196"/>
    <w:rsid w:val="00686669"/>
    <w:rsid w:val="00686DDE"/>
    <w:rsid w:val="006A02BF"/>
    <w:rsid w:val="006A34F4"/>
    <w:rsid w:val="006A3BA7"/>
    <w:rsid w:val="006A6005"/>
    <w:rsid w:val="006B7AF0"/>
    <w:rsid w:val="006D2CE2"/>
    <w:rsid w:val="006E205F"/>
    <w:rsid w:val="006F34FD"/>
    <w:rsid w:val="006F76F9"/>
    <w:rsid w:val="0070169E"/>
    <w:rsid w:val="007252AB"/>
    <w:rsid w:val="007466E2"/>
    <w:rsid w:val="0076328C"/>
    <w:rsid w:val="007922B2"/>
    <w:rsid w:val="007A2560"/>
    <w:rsid w:val="007B3F5F"/>
    <w:rsid w:val="007B6D00"/>
    <w:rsid w:val="007C20D0"/>
    <w:rsid w:val="007C48F9"/>
    <w:rsid w:val="007C4BFA"/>
    <w:rsid w:val="007D7E76"/>
    <w:rsid w:val="007F0DD0"/>
    <w:rsid w:val="0080425D"/>
    <w:rsid w:val="00804A0D"/>
    <w:rsid w:val="00806792"/>
    <w:rsid w:val="008072CC"/>
    <w:rsid w:val="00814983"/>
    <w:rsid w:val="008161A5"/>
    <w:rsid w:val="00824621"/>
    <w:rsid w:val="00824AD3"/>
    <w:rsid w:val="00830C27"/>
    <w:rsid w:val="00834891"/>
    <w:rsid w:val="00835A58"/>
    <w:rsid w:val="008370E0"/>
    <w:rsid w:val="00837890"/>
    <w:rsid w:val="008378A6"/>
    <w:rsid w:val="00837D35"/>
    <w:rsid w:val="0087565B"/>
    <w:rsid w:val="00895F0D"/>
    <w:rsid w:val="008977BF"/>
    <w:rsid w:val="008A6CF9"/>
    <w:rsid w:val="008B4F96"/>
    <w:rsid w:val="008B6F13"/>
    <w:rsid w:val="008E423B"/>
    <w:rsid w:val="008F16EE"/>
    <w:rsid w:val="008F4611"/>
    <w:rsid w:val="0091308B"/>
    <w:rsid w:val="00913CB8"/>
    <w:rsid w:val="00913D9E"/>
    <w:rsid w:val="00926CE4"/>
    <w:rsid w:val="0093576A"/>
    <w:rsid w:val="00952D52"/>
    <w:rsid w:val="00962F83"/>
    <w:rsid w:val="00967EDB"/>
    <w:rsid w:val="00973B04"/>
    <w:rsid w:val="00976A34"/>
    <w:rsid w:val="009874E4"/>
    <w:rsid w:val="00987D86"/>
    <w:rsid w:val="00987E87"/>
    <w:rsid w:val="009A2E66"/>
    <w:rsid w:val="009A2F81"/>
    <w:rsid w:val="009A4C9A"/>
    <w:rsid w:val="009A6AB4"/>
    <w:rsid w:val="009B0012"/>
    <w:rsid w:val="009B6ACD"/>
    <w:rsid w:val="009C2793"/>
    <w:rsid w:val="009C30B2"/>
    <w:rsid w:val="009C62B1"/>
    <w:rsid w:val="009C65EC"/>
    <w:rsid w:val="009D2874"/>
    <w:rsid w:val="009D581B"/>
    <w:rsid w:val="009E5D57"/>
    <w:rsid w:val="00A07DA2"/>
    <w:rsid w:val="00A12EC3"/>
    <w:rsid w:val="00A139EF"/>
    <w:rsid w:val="00A15EE0"/>
    <w:rsid w:val="00A255A2"/>
    <w:rsid w:val="00A3429D"/>
    <w:rsid w:val="00A43937"/>
    <w:rsid w:val="00A603B4"/>
    <w:rsid w:val="00A61FAE"/>
    <w:rsid w:val="00A65BDB"/>
    <w:rsid w:val="00A67955"/>
    <w:rsid w:val="00AA0047"/>
    <w:rsid w:val="00AA781C"/>
    <w:rsid w:val="00AB1D9A"/>
    <w:rsid w:val="00AB25FF"/>
    <w:rsid w:val="00AB4D1F"/>
    <w:rsid w:val="00AB7CAD"/>
    <w:rsid w:val="00AC2342"/>
    <w:rsid w:val="00AD0CA0"/>
    <w:rsid w:val="00AE651F"/>
    <w:rsid w:val="00AF1C40"/>
    <w:rsid w:val="00B03681"/>
    <w:rsid w:val="00B2770E"/>
    <w:rsid w:val="00B32B0F"/>
    <w:rsid w:val="00B40066"/>
    <w:rsid w:val="00B41207"/>
    <w:rsid w:val="00B55A05"/>
    <w:rsid w:val="00B560F5"/>
    <w:rsid w:val="00B5735E"/>
    <w:rsid w:val="00B6207E"/>
    <w:rsid w:val="00B62C4A"/>
    <w:rsid w:val="00B67680"/>
    <w:rsid w:val="00B94887"/>
    <w:rsid w:val="00B953F3"/>
    <w:rsid w:val="00BA15FA"/>
    <w:rsid w:val="00BB4BC2"/>
    <w:rsid w:val="00BB6BAA"/>
    <w:rsid w:val="00BC4DA6"/>
    <w:rsid w:val="00BE0146"/>
    <w:rsid w:val="00BF2E7F"/>
    <w:rsid w:val="00BF4681"/>
    <w:rsid w:val="00BF4838"/>
    <w:rsid w:val="00C02730"/>
    <w:rsid w:val="00C1757B"/>
    <w:rsid w:val="00C66C5A"/>
    <w:rsid w:val="00C8021E"/>
    <w:rsid w:val="00C80F69"/>
    <w:rsid w:val="00C81089"/>
    <w:rsid w:val="00C81146"/>
    <w:rsid w:val="00C8507F"/>
    <w:rsid w:val="00C86603"/>
    <w:rsid w:val="00C93122"/>
    <w:rsid w:val="00CD61A2"/>
    <w:rsid w:val="00CE028C"/>
    <w:rsid w:val="00CE33CA"/>
    <w:rsid w:val="00CF30DD"/>
    <w:rsid w:val="00D0612D"/>
    <w:rsid w:val="00D0759D"/>
    <w:rsid w:val="00D148D6"/>
    <w:rsid w:val="00D2187D"/>
    <w:rsid w:val="00D32D32"/>
    <w:rsid w:val="00D45779"/>
    <w:rsid w:val="00D74569"/>
    <w:rsid w:val="00D76684"/>
    <w:rsid w:val="00D855E6"/>
    <w:rsid w:val="00DC6055"/>
    <w:rsid w:val="00DD262B"/>
    <w:rsid w:val="00DE77FF"/>
    <w:rsid w:val="00DF3EF1"/>
    <w:rsid w:val="00DF6319"/>
    <w:rsid w:val="00E03084"/>
    <w:rsid w:val="00E050E7"/>
    <w:rsid w:val="00E42051"/>
    <w:rsid w:val="00E43FCC"/>
    <w:rsid w:val="00E44170"/>
    <w:rsid w:val="00E56D27"/>
    <w:rsid w:val="00E5708A"/>
    <w:rsid w:val="00E65D63"/>
    <w:rsid w:val="00E735EF"/>
    <w:rsid w:val="00EA0B4A"/>
    <w:rsid w:val="00EB09FD"/>
    <w:rsid w:val="00EB0B74"/>
    <w:rsid w:val="00ED7429"/>
    <w:rsid w:val="00F11C90"/>
    <w:rsid w:val="00F15DA7"/>
    <w:rsid w:val="00F21278"/>
    <w:rsid w:val="00F2495D"/>
    <w:rsid w:val="00F24C87"/>
    <w:rsid w:val="00F53403"/>
    <w:rsid w:val="00F54A9D"/>
    <w:rsid w:val="00F70A51"/>
    <w:rsid w:val="00F81F33"/>
    <w:rsid w:val="00F90AF2"/>
    <w:rsid w:val="00FB69D3"/>
    <w:rsid w:val="00FC14B6"/>
    <w:rsid w:val="00FC70E5"/>
    <w:rsid w:val="00FD69FB"/>
    <w:rsid w:val="00FD6B63"/>
    <w:rsid w:val="00FD7E2A"/>
    <w:rsid w:val="00FE06CE"/>
    <w:rsid w:val="00FE0C1D"/>
    <w:rsid w:val="00FE2C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C70A0"/>
  <w15:docId w15:val="{4483AADE-D9C2-4F24-9E2C-8CB01F3C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47C1"/>
    <w:rPr>
      <w:rFonts w:ascii="Calibri" w:eastAsia="Calibri" w:hAnsi="Calibri" w:cs="Calibri"/>
      <w:lang w:val="it-IT"/>
    </w:rPr>
  </w:style>
  <w:style w:type="paragraph" w:styleId="Titolo1">
    <w:name w:val="heading 1"/>
    <w:basedOn w:val="Normale"/>
    <w:link w:val="Titolo1Carattere"/>
    <w:uiPriority w:val="9"/>
    <w:qFormat/>
    <w:pPr>
      <w:ind w:left="113"/>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3A3EC6"/>
    <w:pPr>
      <w:widowControl/>
      <w:autoSpaceDE/>
      <w:autoSpaceDN/>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3A3EC6"/>
    <w:rPr>
      <w:sz w:val="20"/>
      <w:szCs w:val="20"/>
      <w:lang w:val="it-IT"/>
    </w:rPr>
  </w:style>
  <w:style w:type="character" w:styleId="Rimandonotaapidipagina">
    <w:name w:val="footnote reference"/>
    <w:basedOn w:val="Carpredefinitoparagrafo"/>
    <w:uiPriority w:val="99"/>
    <w:semiHidden/>
    <w:unhideWhenUsed/>
    <w:rsid w:val="003A3EC6"/>
    <w:rPr>
      <w:vertAlign w:val="superscript"/>
    </w:rPr>
  </w:style>
  <w:style w:type="character" w:customStyle="1" w:styleId="Titolo1Carattere">
    <w:name w:val="Titolo 1 Carattere"/>
    <w:basedOn w:val="Carpredefinitoparagrafo"/>
    <w:link w:val="Titolo1"/>
    <w:uiPriority w:val="9"/>
    <w:rsid w:val="00A603B4"/>
    <w:rPr>
      <w:rFonts w:ascii="Calibri" w:eastAsia="Calibri" w:hAnsi="Calibri" w:cs="Calibri"/>
      <w:b/>
      <w:bCs/>
      <w:lang w:val="it-IT"/>
    </w:rPr>
  </w:style>
  <w:style w:type="character" w:styleId="Collegamentoipertestuale">
    <w:name w:val="Hyperlink"/>
    <w:basedOn w:val="Carpredefinitoparagrafo"/>
    <w:uiPriority w:val="99"/>
    <w:unhideWhenUsed/>
    <w:rsid w:val="00E5708A"/>
    <w:rPr>
      <w:color w:val="0000FF" w:themeColor="hyperlink"/>
      <w:u w:val="single"/>
    </w:rPr>
  </w:style>
  <w:style w:type="character" w:styleId="Menzionenonrisolta">
    <w:name w:val="Unresolved Mention"/>
    <w:basedOn w:val="Carpredefinitoparagrafo"/>
    <w:uiPriority w:val="99"/>
    <w:semiHidden/>
    <w:unhideWhenUsed/>
    <w:rsid w:val="00E5708A"/>
    <w:rPr>
      <w:color w:val="605E5C"/>
      <w:shd w:val="clear" w:color="auto" w:fill="E1DFDD"/>
    </w:rPr>
  </w:style>
  <w:style w:type="character" w:styleId="Collegamentovisitato">
    <w:name w:val="FollowedHyperlink"/>
    <w:basedOn w:val="Carpredefinitoparagrafo"/>
    <w:uiPriority w:val="99"/>
    <w:semiHidden/>
    <w:unhideWhenUsed/>
    <w:rsid w:val="00967EDB"/>
    <w:rPr>
      <w:color w:val="800080" w:themeColor="followedHyperlink"/>
      <w:u w:val="single"/>
    </w:rPr>
  </w:style>
  <w:style w:type="paragraph" w:styleId="Intestazione">
    <w:name w:val="header"/>
    <w:basedOn w:val="Normale"/>
    <w:link w:val="IntestazioneCarattere"/>
    <w:uiPriority w:val="99"/>
    <w:unhideWhenUsed/>
    <w:rsid w:val="00456017"/>
    <w:pPr>
      <w:tabs>
        <w:tab w:val="center" w:pos="4819"/>
        <w:tab w:val="right" w:pos="9638"/>
      </w:tabs>
    </w:pPr>
  </w:style>
  <w:style w:type="character" w:customStyle="1" w:styleId="IntestazioneCarattere">
    <w:name w:val="Intestazione Carattere"/>
    <w:basedOn w:val="Carpredefinitoparagrafo"/>
    <w:link w:val="Intestazione"/>
    <w:uiPriority w:val="99"/>
    <w:rsid w:val="00456017"/>
    <w:rPr>
      <w:rFonts w:ascii="Calibri" w:eastAsia="Calibri" w:hAnsi="Calibri" w:cs="Calibri"/>
      <w:lang w:val="it-IT"/>
    </w:rPr>
  </w:style>
  <w:style w:type="paragraph" w:styleId="Pidipagina">
    <w:name w:val="footer"/>
    <w:basedOn w:val="Normale"/>
    <w:link w:val="PidipaginaCarattere"/>
    <w:uiPriority w:val="99"/>
    <w:unhideWhenUsed/>
    <w:rsid w:val="00456017"/>
    <w:pPr>
      <w:tabs>
        <w:tab w:val="center" w:pos="4819"/>
        <w:tab w:val="right" w:pos="9638"/>
      </w:tabs>
    </w:pPr>
  </w:style>
  <w:style w:type="character" w:customStyle="1" w:styleId="PidipaginaCarattere">
    <w:name w:val="Piè di pagina Carattere"/>
    <w:basedOn w:val="Carpredefinitoparagrafo"/>
    <w:link w:val="Pidipagina"/>
    <w:uiPriority w:val="99"/>
    <w:rsid w:val="00456017"/>
    <w:rPr>
      <w:rFonts w:ascii="Calibri" w:eastAsia="Calibri" w:hAnsi="Calibri" w:cs="Calibri"/>
      <w:lang w:val="it-IT"/>
    </w:rPr>
  </w:style>
  <w:style w:type="paragraph" w:styleId="NormaleWeb">
    <w:name w:val="Normal (Web)"/>
    <w:basedOn w:val="Normale"/>
    <w:uiPriority w:val="99"/>
    <w:semiHidden/>
    <w:unhideWhenUsed/>
    <w:rsid w:val="00AF1C40"/>
    <w:rPr>
      <w:rFonts w:ascii="Times New Roman" w:hAnsi="Times New Roman" w:cs="Times New Roman"/>
      <w:sz w:val="24"/>
      <w:szCs w:val="24"/>
    </w:rPr>
  </w:style>
  <w:style w:type="paragraph" w:styleId="Nessunaspaziatura">
    <w:name w:val="No Spacing"/>
    <w:uiPriority w:val="1"/>
    <w:qFormat/>
    <w:rsid w:val="00B41207"/>
    <w:pPr>
      <w:widowControl/>
      <w:autoSpaceDE/>
      <w:autoSpaceDN/>
    </w:pPr>
    <w:rPr>
      <w:kern w:val="2"/>
      <w:sz w:val="24"/>
      <w:szCs w:val="24"/>
      <w:lang w:val="it-IT"/>
      <w14:ligatures w14:val="standardContextual"/>
    </w:rPr>
  </w:style>
  <w:style w:type="paragraph" w:styleId="Revisione">
    <w:name w:val="Revision"/>
    <w:hidden/>
    <w:uiPriority w:val="99"/>
    <w:semiHidden/>
    <w:rsid w:val="00EA0B4A"/>
    <w:pPr>
      <w:widowControl/>
      <w:autoSpaceDE/>
      <w:autoSpaceDN/>
    </w:pPr>
    <w:rPr>
      <w:rFonts w:ascii="Calibri" w:eastAsia="Calibri" w:hAnsi="Calibri" w:cs="Calibri"/>
      <w:lang w:val="it-IT"/>
    </w:rPr>
  </w:style>
  <w:style w:type="paragraph" w:customStyle="1" w:styleId="Normale1">
    <w:name w:val="Normale1"/>
    <w:basedOn w:val="Normale"/>
    <w:rsid w:val="00C81089"/>
    <w:pPr>
      <w:widowControl/>
    </w:pPr>
    <w:rPr>
      <w:rFonts w:eastAsiaTheme="minorHAnsi"/>
      <w:kern w:val="2"/>
      <w:lang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00518">
      <w:bodyDiv w:val="1"/>
      <w:marLeft w:val="0"/>
      <w:marRight w:val="0"/>
      <w:marTop w:val="0"/>
      <w:marBottom w:val="0"/>
      <w:divBdr>
        <w:top w:val="none" w:sz="0" w:space="0" w:color="auto"/>
        <w:left w:val="none" w:sz="0" w:space="0" w:color="auto"/>
        <w:bottom w:val="none" w:sz="0" w:space="0" w:color="auto"/>
        <w:right w:val="none" w:sz="0" w:space="0" w:color="auto"/>
      </w:divBdr>
    </w:div>
    <w:div w:id="140080876">
      <w:bodyDiv w:val="1"/>
      <w:marLeft w:val="0"/>
      <w:marRight w:val="0"/>
      <w:marTop w:val="0"/>
      <w:marBottom w:val="0"/>
      <w:divBdr>
        <w:top w:val="none" w:sz="0" w:space="0" w:color="auto"/>
        <w:left w:val="none" w:sz="0" w:space="0" w:color="auto"/>
        <w:bottom w:val="none" w:sz="0" w:space="0" w:color="auto"/>
        <w:right w:val="none" w:sz="0" w:space="0" w:color="auto"/>
      </w:divBdr>
    </w:div>
    <w:div w:id="193622414">
      <w:bodyDiv w:val="1"/>
      <w:marLeft w:val="0"/>
      <w:marRight w:val="0"/>
      <w:marTop w:val="0"/>
      <w:marBottom w:val="0"/>
      <w:divBdr>
        <w:top w:val="none" w:sz="0" w:space="0" w:color="auto"/>
        <w:left w:val="none" w:sz="0" w:space="0" w:color="auto"/>
        <w:bottom w:val="none" w:sz="0" w:space="0" w:color="auto"/>
        <w:right w:val="none" w:sz="0" w:space="0" w:color="auto"/>
      </w:divBdr>
    </w:div>
    <w:div w:id="458959768">
      <w:bodyDiv w:val="1"/>
      <w:marLeft w:val="0"/>
      <w:marRight w:val="0"/>
      <w:marTop w:val="0"/>
      <w:marBottom w:val="0"/>
      <w:divBdr>
        <w:top w:val="none" w:sz="0" w:space="0" w:color="auto"/>
        <w:left w:val="none" w:sz="0" w:space="0" w:color="auto"/>
        <w:bottom w:val="none" w:sz="0" w:space="0" w:color="auto"/>
        <w:right w:val="none" w:sz="0" w:space="0" w:color="auto"/>
      </w:divBdr>
    </w:div>
    <w:div w:id="459106669">
      <w:bodyDiv w:val="1"/>
      <w:marLeft w:val="0"/>
      <w:marRight w:val="0"/>
      <w:marTop w:val="0"/>
      <w:marBottom w:val="0"/>
      <w:divBdr>
        <w:top w:val="none" w:sz="0" w:space="0" w:color="auto"/>
        <w:left w:val="none" w:sz="0" w:space="0" w:color="auto"/>
        <w:bottom w:val="none" w:sz="0" w:space="0" w:color="auto"/>
        <w:right w:val="none" w:sz="0" w:space="0" w:color="auto"/>
      </w:divBdr>
    </w:div>
    <w:div w:id="516846063">
      <w:bodyDiv w:val="1"/>
      <w:marLeft w:val="0"/>
      <w:marRight w:val="0"/>
      <w:marTop w:val="0"/>
      <w:marBottom w:val="0"/>
      <w:divBdr>
        <w:top w:val="none" w:sz="0" w:space="0" w:color="auto"/>
        <w:left w:val="none" w:sz="0" w:space="0" w:color="auto"/>
        <w:bottom w:val="none" w:sz="0" w:space="0" w:color="auto"/>
        <w:right w:val="none" w:sz="0" w:space="0" w:color="auto"/>
      </w:divBdr>
    </w:div>
    <w:div w:id="626476319">
      <w:bodyDiv w:val="1"/>
      <w:marLeft w:val="0"/>
      <w:marRight w:val="0"/>
      <w:marTop w:val="0"/>
      <w:marBottom w:val="0"/>
      <w:divBdr>
        <w:top w:val="none" w:sz="0" w:space="0" w:color="auto"/>
        <w:left w:val="none" w:sz="0" w:space="0" w:color="auto"/>
        <w:bottom w:val="none" w:sz="0" w:space="0" w:color="auto"/>
        <w:right w:val="none" w:sz="0" w:space="0" w:color="auto"/>
      </w:divBdr>
    </w:div>
    <w:div w:id="736783949">
      <w:bodyDiv w:val="1"/>
      <w:marLeft w:val="0"/>
      <w:marRight w:val="0"/>
      <w:marTop w:val="0"/>
      <w:marBottom w:val="0"/>
      <w:divBdr>
        <w:top w:val="none" w:sz="0" w:space="0" w:color="auto"/>
        <w:left w:val="none" w:sz="0" w:space="0" w:color="auto"/>
        <w:bottom w:val="none" w:sz="0" w:space="0" w:color="auto"/>
        <w:right w:val="none" w:sz="0" w:space="0" w:color="auto"/>
      </w:divBdr>
    </w:div>
    <w:div w:id="793643972">
      <w:bodyDiv w:val="1"/>
      <w:marLeft w:val="0"/>
      <w:marRight w:val="0"/>
      <w:marTop w:val="0"/>
      <w:marBottom w:val="0"/>
      <w:divBdr>
        <w:top w:val="none" w:sz="0" w:space="0" w:color="auto"/>
        <w:left w:val="none" w:sz="0" w:space="0" w:color="auto"/>
        <w:bottom w:val="none" w:sz="0" w:space="0" w:color="auto"/>
        <w:right w:val="none" w:sz="0" w:space="0" w:color="auto"/>
      </w:divBdr>
    </w:div>
    <w:div w:id="797838888">
      <w:bodyDiv w:val="1"/>
      <w:marLeft w:val="0"/>
      <w:marRight w:val="0"/>
      <w:marTop w:val="0"/>
      <w:marBottom w:val="0"/>
      <w:divBdr>
        <w:top w:val="none" w:sz="0" w:space="0" w:color="auto"/>
        <w:left w:val="none" w:sz="0" w:space="0" w:color="auto"/>
        <w:bottom w:val="none" w:sz="0" w:space="0" w:color="auto"/>
        <w:right w:val="none" w:sz="0" w:space="0" w:color="auto"/>
      </w:divBdr>
    </w:div>
    <w:div w:id="1284075959">
      <w:bodyDiv w:val="1"/>
      <w:marLeft w:val="0"/>
      <w:marRight w:val="0"/>
      <w:marTop w:val="0"/>
      <w:marBottom w:val="0"/>
      <w:divBdr>
        <w:top w:val="none" w:sz="0" w:space="0" w:color="auto"/>
        <w:left w:val="none" w:sz="0" w:space="0" w:color="auto"/>
        <w:bottom w:val="none" w:sz="0" w:space="0" w:color="auto"/>
        <w:right w:val="none" w:sz="0" w:space="0" w:color="auto"/>
      </w:divBdr>
    </w:div>
    <w:div w:id="1353611861">
      <w:bodyDiv w:val="1"/>
      <w:marLeft w:val="0"/>
      <w:marRight w:val="0"/>
      <w:marTop w:val="0"/>
      <w:marBottom w:val="0"/>
      <w:divBdr>
        <w:top w:val="none" w:sz="0" w:space="0" w:color="auto"/>
        <w:left w:val="none" w:sz="0" w:space="0" w:color="auto"/>
        <w:bottom w:val="none" w:sz="0" w:space="0" w:color="auto"/>
        <w:right w:val="none" w:sz="0" w:space="0" w:color="auto"/>
      </w:divBdr>
    </w:div>
    <w:div w:id="1400832865">
      <w:bodyDiv w:val="1"/>
      <w:marLeft w:val="0"/>
      <w:marRight w:val="0"/>
      <w:marTop w:val="0"/>
      <w:marBottom w:val="0"/>
      <w:divBdr>
        <w:top w:val="none" w:sz="0" w:space="0" w:color="auto"/>
        <w:left w:val="none" w:sz="0" w:space="0" w:color="auto"/>
        <w:bottom w:val="none" w:sz="0" w:space="0" w:color="auto"/>
        <w:right w:val="none" w:sz="0" w:space="0" w:color="auto"/>
      </w:divBdr>
    </w:div>
    <w:div w:id="1454248721">
      <w:bodyDiv w:val="1"/>
      <w:marLeft w:val="0"/>
      <w:marRight w:val="0"/>
      <w:marTop w:val="0"/>
      <w:marBottom w:val="0"/>
      <w:divBdr>
        <w:top w:val="none" w:sz="0" w:space="0" w:color="auto"/>
        <w:left w:val="none" w:sz="0" w:space="0" w:color="auto"/>
        <w:bottom w:val="none" w:sz="0" w:space="0" w:color="auto"/>
        <w:right w:val="none" w:sz="0" w:space="0" w:color="auto"/>
      </w:divBdr>
    </w:div>
    <w:div w:id="1466893578">
      <w:bodyDiv w:val="1"/>
      <w:marLeft w:val="0"/>
      <w:marRight w:val="0"/>
      <w:marTop w:val="0"/>
      <w:marBottom w:val="0"/>
      <w:divBdr>
        <w:top w:val="none" w:sz="0" w:space="0" w:color="auto"/>
        <w:left w:val="none" w:sz="0" w:space="0" w:color="auto"/>
        <w:bottom w:val="none" w:sz="0" w:space="0" w:color="auto"/>
        <w:right w:val="none" w:sz="0" w:space="0" w:color="auto"/>
      </w:divBdr>
    </w:div>
    <w:div w:id="1530144959">
      <w:bodyDiv w:val="1"/>
      <w:marLeft w:val="0"/>
      <w:marRight w:val="0"/>
      <w:marTop w:val="0"/>
      <w:marBottom w:val="0"/>
      <w:divBdr>
        <w:top w:val="none" w:sz="0" w:space="0" w:color="auto"/>
        <w:left w:val="none" w:sz="0" w:space="0" w:color="auto"/>
        <w:bottom w:val="none" w:sz="0" w:space="0" w:color="auto"/>
        <w:right w:val="none" w:sz="0" w:space="0" w:color="auto"/>
      </w:divBdr>
    </w:div>
    <w:div w:id="1823765705">
      <w:bodyDiv w:val="1"/>
      <w:marLeft w:val="0"/>
      <w:marRight w:val="0"/>
      <w:marTop w:val="0"/>
      <w:marBottom w:val="0"/>
      <w:divBdr>
        <w:top w:val="none" w:sz="0" w:space="0" w:color="auto"/>
        <w:left w:val="none" w:sz="0" w:space="0" w:color="auto"/>
        <w:bottom w:val="none" w:sz="0" w:space="0" w:color="auto"/>
        <w:right w:val="none" w:sz="0" w:space="0" w:color="auto"/>
      </w:divBdr>
    </w:div>
    <w:div w:id="1867132379">
      <w:bodyDiv w:val="1"/>
      <w:marLeft w:val="0"/>
      <w:marRight w:val="0"/>
      <w:marTop w:val="0"/>
      <w:marBottom w:val="0"/>
      <w:divBdr>
        <w:top w:val="none" w:sz="0" w:space="0" w:color="auto"/>
        <w:left w:val="none" w:sz="0" w:space="0" w:color="auto"/>
        <w:bottom w:val="none" w:sz="0" w:space="0" w:color="auto"/>
        <w:right w:val="none" w:sz="0" w:space="0" w:color="auto"/>
      </w:divBdr>
    </w:div>
    <w:div w:id="1905413257">
      <w:bodyDiv w:val="1"/>
      <w:marLeft w:val="0"/>
      <w:marRight w:val="0"/>
      <w:marTop w:val="0"/>
      <w:marBottom w:val="0"/>
      <w:divBdr>
        <w:top w:val="none" w:sz="0" w:space="0" w:color="auto"/>
        <w:left w:val="none" w:sz="0" w:space="0" w:color="auto"/>
        <w:bottom w:val="none" w:sz="0" w:space="0" w:color="auto"/>
        <w:right w:val="none" w:sz="0" w:space="0" w:color="auto"/>
      </w:divBdr>
    </w:div>
    <w:div w:id="2013288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confagricoltura.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mailto:legale@confagricoltura.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3246BFE337332041865025C7E8216482" ma:contentTypeVersion="9" ma:contentTypeDescription="Creare un nuovo documento." ma:contentTypeScope="" ma:versionID="acd0885ecac65e6c72d7a1b15e172ebc">
  <xsd:schema xmlns:xsd="http://www.w3.org/2001/XMLSchema" xmlns:xs="http://www.w3.org/2001/XMLSchema" xmlns:p="http://schemas.microsoft.com/office/2006/metadata/properties" xmlns:ns3="e285e2f8-f345-46e4-aa5e-cf2b8ade61ff" targetNamespace="http://schemas.microsoft.com/office/2006/metadata/properties" ma:root="true" ma:fieldsID="49f5168f39662075c8f2c06749da9db9" ns3:_="">
    <xsd:import namespace="e285e2f8-f345-46e4-aa5e-cf2b8ade61f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5e2f8-f345-46e4-aa5e-cf2b8ade6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41EF6F-3124-4816-AB8A-A402860206D7}">
  <ds:schemaRefs>
    <ds:schemaRef ds:uri="http://schemas.openxmlformats.org/officeDocument/2006/bibliography"/>
  </ds:schemaRefs>
</ds:datastoreItem>
</file>

<file path=customXml/itemProps2.xml><?xml version="1.0" encoding="utf-8"?>
<ds:datastoreItem xmlns:ds="http://schemas.openxmlformats.org/officeDocument/2006/customXml" ds:itemID="{F24E0F8B-CDC3-45EE-A804-77DAE017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5e2f8-f345-46e4-aa5e-cf2b8ade61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636863-8DB7-4495-91B6-E23067B4BEBA}">
  <ds:schemaRefs>
    <ds:schemaRef ds:uri="http://schemas.microsoft.com/sharepoint/v3/contenttype/forms"/>
  </ds:schemaRefs>
</ds:datastoreItem>
</file>

<file path=customXml/itemProps4.xml><?xml version="1.0" encoding="utf-8"?>
<ds:datastoreItem xmlns:ds="http://schemas.openxmlformats.org/officeDocument/2006/customXml" ds:itemID="{A3DF2FB4-640F-44DF-B5F4-EA3E16100B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1766</Words>
  <Characters>10068</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Microsoft Word - Circolare  n.  16541 del 21 gennaio 2022 .docx</vt:lpstr>
    </vt:vector>
  </TitlesOfParts>
  <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Circolare  n.  16541 del 21 gennaio 2022 .docx</dc:title>
  <dc:creator>ROMEO</dc:creator>
  <cp:lastModifiedBy>Carla Lupano</cp:lastModifiedBy>
  <cp:revision>4</cp:revision>
  <cp:lastPrinted>2026-09-07T08:17:00Z</cp:lastPrinted>
  <dcterms:created xsi:type="dcterms:W3CDTF">2026-09-14T09:25:00Z</dcterms:created>
  <dcterms:modified xsi:type="dcterms:W3CDTF">2026-09-14T09:27:00Z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2022-01-21T00:00:00Z</vt:filetime>
  </property>
  <property fmtid="{D5CDD505-2E9C-101B-9397-08002B2CF9AE}" pid="3" name="LastSaved">
    <vt:filetime>2022-01-27T00:00:00Z</vt:filetime>
  </property>
  <property fmtid="{D5CDD505-2E9C-101B-9397-08002B2CF9AE}" pid="4" name="ContentTypeId">
    <vt:lpwstr>0x0101003246BFE337332041865025C7E8216482</vt:lpwstr>
  </property>
</Properties>
</file>