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324E" w14:textId="77777777" w:rsidR="00835A58" w:rsidRPr="003A3EC6" w:rsidRDefault="00197FA0">
      <w:pPr>
        <w:pStyle w:val="Corpotesto"/>
        <w:ind w:left="2439"/>
        <w:rPr>
          <w:rFonts w:asciiTheme="minorHAnsi" w:hAnsiTheme="minorHAnsi" w:cstheme="minorHAnsi"/>
          <w:sz w:val="20"/>
        </w:rPr>
      </w:pPr>
      <w:r w:rsidRPr="003A3EC6">
        <w:rPr>
          <w:rFonts w:asciiTheme="minorHAnsi" w:hAnsiTheme="minorHAnsi" w:cstheme="minorHAnsi"/>
          <w:noProof/>
          <w:sz w:val="20"/>
          <w:lang w:eastAsia="it-IT"/>
        </w:rPr>
        <w:drawing>
          <wp:inline distT="0" distB="0" distL="0" distR="0" wp14:anchorId="531618D6" wp14:editId="11C3AC0D">
            <wp:extent cx="3257229" cy="7072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57229" cy="707231"/>
                    </a:xfrm>
                    <a:prstGeom prst="rect">
                      <a:avLst/>
                    </a:prstGeom>
                  </pic:spPr>
                </pic:pic>
              </a:graphicData>
            </a:graphic>
          </wp:inline>
        </w:drawing>
      </w:r>
    </w:p>
    <w:p w14:paraId="5A157D91" w14:textId="77777777" w:rsidR="00835A58" w:rsidRPr="00D2187D" w:rsidRDefault="00835A58">
      <w:pPr>
        <w:pStyle w:val="Corpotesto"/>
        <w:rPr>
          <w:rFonts w:asciiTheme="minorHAnsi" w:hAnsiTheme="minorHAnsi" w:cstheme="minorHAnsi"/>
        </w:rPr>
      </w:pPr>
    </w:p>
    <w:p w14:paraId="057F0815" w14:textId="68B40885" w:rsidR="00835A58" w:rsidRPr="00D2187D" w:rsidRDefault="00D2187D">
      <w:pPr>
        <w:pStyle w:val="Corpotesto"/>
        <w:rPr>
          <w:rFonts w:asciiTheme="minorHAnsi" w:hAnsiTheme="minorHAnsi" w:cstheme="minorHAnsi"/>
        </w:rPr>
      </w:pPr>
      <w:r w:rsidRPr="00D2187D">
        <w:rPr>
          <w:rFonts w:asciiTheme="minorHAnsi" w:hAnsiTheme="minorHAnsi" w:cstheme="minorHAnsi"/>
          <w:noProof/>
          <w:lang w:eastAsia="it-IT"/>
        </w:rPr>
        <mc:AlternateContent>
          <mc:Choice Requires="wps">
            <w:drawing>
              <wp:anchor distT="0" distB="0" distL="0" distR="0" simplePos="0" relativeHeight="487588352" behindDoc="1" locked="0" layoutInCell="1" allowOverlap="1" wp14:anchorId="4B4A3C6C" wp14:editId="36374B4F">
                <wp:simplePos x="0" y="0"/>
                <wp:positionH relativeFrom="page">
                  <wp:posOffset>3981450</wp:posOffset>
                </wp:positionH>
                <wp:positionV relativeFrom="paragraph">
                  <wp:posOffset>433705</wp:posOffset>
                </wp:positionV>
                <wp:extent cx="2886075" cy="971550"/>
                <wp:effectExtent l="0" t="0" r="28575" b="19050"/>
                <wp:wrapTopAndBottom/>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971550"/>
                        </a:xfrm>
                        <a:prstGeom prst="rect">
                          <a:avLst/>
                        </a:prstGeom>
                        <a:noFill/>
                        <a:ln w="12192">
                          <a:solidFill>
                            <a:srgbClr val="B3CC82"/>
                          </a:solidFill>
                          <a:miter lim="800000"/>
                          <a:headEnd/>
                          <a:tailEnd/>
                        </a:ln>
                        <a:extLst>
                          <a:ext uri="{909E8E84-426E-40DD-AFC4-6F175D3DCCD1}">
                            <a14:hiddenFill xmlns:a14="http://schemas.microsoft.com/office/drawing/2010/main">
                              <a:solidFill>
                                <a:srgbClr val="FFFFFF"/>
                              </a:solidFill>
                            </a14:hiddenFill>
                          </a:ext>
                        </a:extLst>
                      </wps:spPr>
                      <wps:txbx>
                        <w:txbxContent>
                          <w:p w14:paraId="4DE0CFC0" w14:textId="77777777" w:rsidR="004F4639" w:rsidRDefault="004F4639" w:rsidP="004F4639">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0" w:name="_Hlk188865736"/>
                            <w:r>
                              <w:rPr>
                                <w:rFonts w:asciiTheme="minorHAnsi" w:hAnsiTheme="minorHAnsi" w:cstheme="minorHAnsi"/>
                                <w:b/>
                                <w:i/>
                                <w:color w:val="007736"/>
                              </w:rPr>
                              <w:t>Direzione politiche del lavoro, welfare e sicurezza sul lavoro – Ufficio Affari Legali</w:t>
                            </w:r>
                          </w:p>
                          <w:p w14:paraId="448EC660" w14:textId="77777777" w:rsidR="004F4639" w:rsidRDefault="004F4639" w:rsidP="004F4639">
                            <w:pPr>
                              <w:spacing w:before="56"/>
                              <w:ind w:left="567" w:right="109" w:hanging="567"/>
                              <w:jc w:val="both"/>
                              <w:rPr>
                                <w:rFonts w:asciiTheme="minorHAnsi" w:hAnsiTheme="minorHAnsi" w:cstheme="minorHAnsi"/>
                                <w:b/>
                                <w:i/>
                                <w:color w:val="007736"/>
                              </w:rPr>
                            </w:pPr>
                          </w:p>
                          <w:bookmarkEnd w:id="0"/>
                          <w:p w14:paraId="15407268" w14:textId="58E5FF4A" w:rsidR="00835A58" w:rsidRDefault="004F4639" w:rsidP="004F4639">
                            <w:pPr>
                              <w:rPr>
                                <w:b/>
                              </w:rPr>
                            </w:pPr>
                            <w:r>
                              <w:rPr>
                                <w:b/>
                              </w:rPr>
                              <w:t xml:space="preserve">  CIRCOLARE</w:t>
                            </w:r>
                            <w:r>
                              <w:rPr>
                                <w:b/>
                                <w:spacing w:val="-3"/>
                              </w:rPr>
                              <w:t xml:space="preserve"> </w:t>
                            </w:r>
                            <w:r>
                              <w:rPr>
                                <w:b/>
                              </w:rPr>
                              <w:t>N</w:t>
                            </w:r>
                            <w:r w:rsidRPr="00F70A51">
                              <w:rPr>
                                <w:b/>
                              </w:rPr>
                              <w:t>.</w:t>
                            </w:r>
                            <w:r w:rsidR="00265959">
                              <w:rPr>
                                <w:b/>
                              </w:rPr>
                              <w:t xml:space="preserve"> 17669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A3C6C" id="_x0000_t202" coordsize="21600,21600" o:spt="202" path="m,l,21600r21600,l21600,xe">
                <v:stroke joinstyle="miter"/>
                <v:path gradientshapeok="t" o:connecttype="rect"/>
              </v:shapetype>
              <v:shape id="Text Box 6" o:spid="_x0000_s1026" type="#_x0000_t202" style="position:absolute;margin-left:313.5pt;margin-top:34.15pt;width:227.25pt;height:76.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" filled="f" strokecolor="#b3cc82" strokeweight=".96pt">
                <v:textbox inset="0,0,0,0">
                  <w:txbxContent>
                    <w:p w14:paraId="4DE0CFC0" w14:textId="77777777" w:rsidR="004F4639" w:rsidRDefault="004F4639" w:rsidP="004F4639">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1" w:name="_Hlk188865736"/>
                      <w:r>
                        <w:rPr>
                          <w:rFonts w:asciiTheme="minorHAnsi" w:hAnsiTheme="minorHAnsi" w:cstheme="minorHAnsi"/>
                          <w:b/>
                          <w:i/>
                          <w:color w:val="007736"/>
                        </w:rPr>
                        <w:t>Direzione politiche del lavoro, welfare e sicurezza sul lavoro – Ufficio Affari Legali</w:t>
                      </w:r>
                    </w:p>
                    <w:p w14:paraId="448EC660" w14:textId="77777777" w:rsidR="004F4639" w:rsidRDefault="004F4639" w:rsidP="004F4639">
                      <w:pPr>
                        <w:spacing w:before="56"/>
                        <w:ind w:left="567" w:right="109" w:hanging="567"/>
                        <w:jc w:val="both"/>
                        <w:rPr>
                          <w:rFonts w:asciiTheme="minorHAnsi" w:hAnsiTheme="minorHAnsi" w:cstheme="minorHAnsi"/>
                          <w:b/>
                          <w:i/>
                          <w:color w:val="007736"/>
                        </w:rPr>
                      </w:pPr>
                    </w:p>
                    <w:bookmarkEnd w:id="1"/>
                    <w:p w14:paraId="15407268" w14:textId="58E5FF4A" w:rsidR="00835A58" w:rsidRDefault="004F4639" w:rsidP="004F4639">
                      <w:pPr>
                        <w:rPr>
                          <w:b/>
                        </w:rPr>
                      </w:pPr>
                      <w:r>
                        <w:rPr>
                          <w:b/>
                        </w:rPr>
                        <w:t xml:space="preserve">  CIRCOLARE</w:t>
                      </w:r>
                      <w:r>
                        <w:rPr>
                          <w:b/>
                          <w:spacing w:val="-3"/>
                        </w:rPr>
                        <w:t xml:space="preserve"> </w:t>
                      </w:r>
                      <w:r>
                        <w:rPr>
                          <w:b/>
                        </w:rPr>
                        <w:t>N</w:t>
                      </w:r>
                      <w:r w:rsidRPr="00F70A51">
                        <w:rPr>
                          <w:b/>
                        </w:rPr>
                        <w:t>.</w:t>
                      </w:r>
                      <w:r w:rsidR="00265959">
                        <w:rPr>
                          <w:b/>
                        </w:rPr>
                        <w:t xml:space="preserve"> 17669</w:t>
                      </w:r>
                    </w:p>
                  </w:txbxContent>
                </v:textbox>
                <w10:wrap type="topAndBottom" anchorx="page"/>
              </v:shape>
            </w:pict>
          </mc:Fallback>
        </mc:AlternateContent>
      </w:r>
    </w:p>
    <w:p w14:paraId="7565D063" w14:textId="694A7694" w:rsidR="00835A58" w:rsidRPr="00D2187D" w:rsidRDefault="00197FA0">
      <w:pPr>
        <w:pStyle w:val="Corpotesto"/>
        <w:spacing w:before="2"/>
        <w:rPr>
          <w:rFonts w:asciiTheme="minorHAnsi" w:hAnsiTheme="minorHAnsi" w:cstheme="minorHAnsi"/>
        </w:rPr>
      </w:pPr>
      <w:r w:rsidRPr="00D2187D">
        <w:rPr>
          <w:rFonts w:asciiTheme="minorHAnsi" w:hAnsiTheme="minorHAnsi" w:cstheme="minorHAnsi"/>
          <w:noProof/>
          <w:lang w:eastAsia="it-IT"/>
        </w:rPr>
        <w:drawing>
          <wp:anchor distT="0" distB="0" distL="0" distR="0" simplePos="0" relativeHeight="251658752" behindDoc="0" locked="0" layoutInCell="1" allowOverlap="1" wp14:anchorId="1AAC2E31" wp14:editId="06834A26">
            <wp:simplePos x="0" y="0"/>
            <wp:positionH relativeFrom="page">
              <wp:posOffset>3150107</wp:posOffset>
            </wp:positionH>
            <wp:positionV relativeFrom="paragraph">
              <wp:posOffset>150429</wp:posOffset>
            </wp:positionV>
            <wp:extent cx="786521" cy="81724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786521" cy="817245"/>
                    </a:xfrm>
                    <a:prstGeom prst="rect">
                      <a:avLst/>
                    </a:prstGeom>
                  </pic:spPr>
                </pic:pic>
              </a:graphicData>
            </a:graphic>
          </wp:anchor>
        </w:drawing>
      </w:r>
    </w:p>
    <w:p w14:paraId="19D0F93A" w14:textId="06974CD6" w:rsidR="000D1587" w:rsidRDefault="000D1587" w:rsidP="00D2187D">
      <w:pPr>
        <w:pStyle w:val="Titolo1"/>
        <w:spacing w:line="360" w:lineRule="auto"/>
        <w:ind w:left="0"/>
        <w:jc w:val="both"/>
        <w:rPr>
          <w:rFonts w:asciiTheme="minorHAnsi" w:hAnsiTheme="minorHAnsi" w:cstheme="minorHAnsi"/>
        </w:rPr>
      </w:pPr>
    </w:p>
    <w:p w14:paraId="756B6855" w14:textId="77777777" w:rsidR="00D2187D" w:rsidRDefault="00D2187D" w:rsidP="00D2187D">
      <w:pPr>
        <w:pStyle w:val="Titolo1"/>
        <w:spacing w:line="360" w:lineRule="auto"/>
        <w:ind w:left="0"/>
        <w:jc w:val="both"/>
        <w:rPr>
          <w:rFonts w:asciiTheme="minorHAnsi" w:hAnsiTheme="minorHAnsi" w:cstheme="minorHAnsi"/>
        </w:rPr>
      </w:pPr>
    </w:p>
    <w:p w14:paraId="4B9AC9C1" w14:textId="77777777" w:rsidR="00456017" w:rsidRPr="00D2187D" w:rsidRDefault="00456017" w:rsidP="00D2187D">
      <w:pPr>
        <w:pStyle w:val="Titolo1"/>
        <w:spacing w:line="360" w:lineRule="auto"/>
        <w:ind w:left="0"/>
        <w:jc w:val="both"/>
        <w:rPr>
          <w:rFonts w:asciiTheme="minorHAnsi" w:hAnsiTheme="minorHAnsi" w:cstheme="minorHAnsi"/>
        </w:rPr>
      </w:pPr>
    </w:p>
    <w:p w14:paraId="6EC10040" w14:textId="77777777" w:rsidR="000D1587" w:rsidRPr="00484965" w:rsidRDefault="000D1587" w:rsidP="00B6207E">
      <w:pPr>
        <w:pStyle w:val="Titolo1"/>
        <w:spacing w:line="276" w:lineRule="auto"/>
        <w:jc w:val="both"/>
        <w:rPr>
          <w:rFonts w:ascii="Aptos" w:hAnsi="Aptos" w:cstheme="minorHAnsi"/>
          <w:b w:val="0"/>
          <w:bCs w:val="0"/>
        </w:rPr>
      </w:pPr>
    </w:p>
    <w:p w14:paraId="31FEFF82" w14:textId="3134A373" w:rsidR="00470B5A" w:rsidRPr="004F4639" w:rsidRDefault="00A65BDB" w:rsidP="004F4639">
      <w:pPr>
        <w:pStyle w:val="Titolo1"/>
        <w:spacing w:line="276" w:lineRule="auto"/>
        <w:ind w:left="851" w:hanging="851"/>
        <w:jc w:val="both"/>
        <w:rPr>
          <w:rFonts w:ascii="Aptos" w:hAnsi="Aptos" w:cstheme="minorHAnsi"/>
          <w:b w:val="0"/>
          <w:bCs w:val="0"/>
          <w:sz w:val="24"/>
          <w:szCs w:val="24"/>
        </w:rPr>
      </w:pPr>
      <w:r w:rsidRPr="004F4639">
        <w:rPr>
          <w:rFonts w:ascii="Aptos" w:hAnsi="Aptos" w:cstheme="minorHAnsi"/>
          <w:sz w:val="24"/>
          <w:szCs w:val="24"/>
        </w:rPr>
        <w:t>TITOLO</w:t>
      </w:r>
      <w:bookmarkStart w:id="2" w:name="_Hlk188869543"/>
      <w:r w:rsidR="00E33BE4" w:rsidRPr="004F4639">
        <w:rPr>
          <w:rFonts w:ascii="Aptos" w:hAnsi="Aptos" w:cstheme="minorHAnsi"/>
          <w:sz w:val="24"/>
          <w:szCs w:val="24"/>
        </w:rPr>
        <w:t>:</w:t>
      </w:r>
      <w:r w:rsidR="001C0B6C" w:rsidRPr="004F4639">
        <w:rPr>
          <w:rFonts w:ascii="Aptos" w:hAnsi="Aptos" w:cstheme="minorHAnsi"/>
          <w:b w:val="0"/>
          <w:bCs w:val="0"/>
          <w:sz w:val="24"/>
          <w:szCs w:val="24"/>
        </w:rPr>
        <w:t xml:space="preserve"> </w:t>
      </w:r>
      <w:bookmarkEnd w:id="2"/>
      <w:r w:rsidR="00CE3457" w:rsidRPr="004F4639">
        <w:rPr>
          <w:rFonts w:ascii="Aptos" w:hAnsi="Aptos" w:cstheme="minorHAnsi"/>
          <w:b w:val="0"/>
          <w:bCs w:val="0"/>
          <w:sz w:val="24"/>
          <w:szCs w:val="24"/>
        </w:rPr>
        <w:t>Usi civici: la Consulta conferma la semplificazione sul mutamento di destinazione d’uso, ma ripristina il vincolo paesaggistico</w:t>
      </w:r>
    </w:p>
    <w:p w14:paraId="5149F34A" w14:textId="77777777" w:rsidR="004F4639" w:rsidRPr="004F4639" w:rsidRDefault="004F4639" w:rsidP="004F4639">
      <w:pPr>
        <w:pStyle w:val="Titolo1"/>
        <w:spacing w:line="276" w:lineRule="auto"/>
        <w:ind w:left="0"/>
        <w:jc w:val="both"/>
        <w:rPr>
          <w:rFonts w:ascii="Aptos" w:hAnsi="Aptos" w:cstheme="minorHAnsi"/>
          <w:sz w:val="24"/>
          <w:szCs w:val="24"/>
        </w:rPr>
      </w:pPr>
    </w:p>
    <w:p w14:paraId="6175DC5A" w14:textId="77777777" w:rsidR="004F4639" w:rsidRPr="004F4639" w:rsidRDefault="004F4639" w:rsidP="004F4639">
      <w:pPr>
        <w:pStyle w:val="Titolo1"/>
        <w:spacing w:line="276" w:lineRule="auto"/>
        <w:ind w:left="0"/>
        <w:jc w:val="both"/>
        <w:rPr>
          <w:rFonts w:ascii="Aptos" w:hAnsi="Aptos" w:cstheme="minorHAnsi"/>
          <w:sz w:val="24"/>
          <w:szCs w:val="24"/>
        </w:rPr>
      </w:pPr>
    </w:p>
    <w:p w14:paraId="0D3227FE" w14:textId="77777777" w:rsidR="004F4639" w:rsidRPr="004F4639" w:rsidRDefault="004F4639" w:rsidP="004F4639">
      <w:pPr>
        <w:pStyle w:val="Titolo1"/>
        <w:spacing w:line="276" w:lineRule="auto"/>
        <w:ind w:left="0"/>
        <w:jc w:val="both"/>
        <w:rPr>
          <w:rFonts w:ascii="Aptos" w:hAnsi="Aptos" w:cstheme="minorHAnsi"/>
          <w:sz w:val="24"/>
          <w:szCs w:val="24"/>
        </w:rPr>
      </w:pPr>
    </w:p>
    <w:p w14:paraId="3759583E" w14:textId="77777777" w:rsidR="004F4639" w:rsidRPr="004F4639" w:rsidRDefault="004F4639" w:rsidP="004F4639">
      <w:pPr>
        <w:pStyle w:val="Titolo1"/>
        <w:spacing w:line="276" w:lineRule="auto"/>
        <w:ind w:left="0"/>
        <w:jc w:val="both"/>
        <w:rPr>
          <w:rFonts w:ascii="Aptos" w:hAnsi="Aptos" w:cstheme="minorHAnsi"/>
          <w:sz w:val="24"/>
          <w:szCs w:val="24"/>
        </w:rPr>
      </w:pPr>
    </w:p>
    <w:p w14:paraId="433734C8" w14:textId="77777777" w:rsidR="002A12A7" w:rsidRPr="004F4639" w:rsidRDefault="00197FA0" w:rsidP="004F4639">
      <w:pPr>
        <w:pStyle w:val="Titolo1"/>
        <w:spacing w:line="276" w:lineRule="auto"/>
        <w:ind w:left="0"/>
        <w:jc w:val="both"/>
        <w:rPr>
          <w:rFonts w:ascii="Aptos" w:hAnsi="Aptos" w:cstheme="minorHAnsi"/>
          <w:sz w:val="24"/>
          <w:szCs w:val="24"/>
        </w:rPr>
      </w:pPr>
      <w:r w:rsidRPr="004F4639">
        <w:rPr>
          <w:rFonts w:ascii="Aptos" w:hAnsi="Aptos" w:cstheme="minorHAnsi"/>
          <w:sz w:val="24"/>
          <w:szCs w:val="24"/>
        </w:rPr>
        <w:t>RIFERIMENTI</w:t>
      </w:r>
      <w:r w:rsidRPr="004F4639">
        <w:rPr>
          <w:rFonts w:ascii="Aptos" w:hAnsi="Aptos" w:cstheme="minorHAnsi"/>
          <w:spacing w:val="-3"/>
          <w:sz w:val="24"/>
          <w:szCs w:val="24"/>
        </w:rPr>
        <w:t xml:space="preserve"> </w:t>
      </w:r>
      <w:r w:rsidRPr="004F4639">
        <w:rPr>
          <w:rFonts w:ascii="Aptos" w:hAnsi="Aptos" w:cstheme="minorHAnsi"/>
          <w:sz w:val="24"/>
          <w:szCs w:val="24"/>
        </w:rPr>
        <w:t>NORMATIVI</w:t>
      </w:r>
      <w:r w:rsidR="00FD7E2A" w:rsidRPr="004F4639">
        <w:rPr>
          <w:rFonts w:ascii="Aptos" w:hAnsi="Aptos" w:cstheme="minorHAnsi"/>
          <w:sz w:val="24"/>
          <w:szCs w:val="24"/>
        </w:rPr>
        <w:t xml:space="preserve">: </w:t>
      </w:r>
    </w:p>
    <w:p w14:paraId="6242F889" w14:textId="0DEB1A76" w:rsidR="005562D8" w:rsidRPr="004F4639" w:rsidRDefault="005562D8" w:rsidP="004F4639">
      <w:pPr>
        <w:pStyle w:val="Titolo1"/>
        <w:spacing w:line="276" w:lineRule="auto"/>
        <w:ind w:left="0"/>
        <w:rPr>
          <w:rFonts w:ascii="Aptos" w:hAnsi="Aptos" w:cstheme="minorHAnsi"/>
          <w:b w:val="0"/>
          <w:bCs w:val="0"/>
          <w:sz w:val="24"/>
          <w:szCs w:val="24"/>
        </w:rPr>
      </w:pPr>
      <w:r w:rsidRPr="004F4639">
        <w:rPr>
          <w:rFonts w:ascii="Aptos" w:hAnsi="Aptos" w:cstheme="minorHAnsi"/>
          <w:b w:val="0"/>
          <w:bCs w:val="0"/>
          <w:sz w:val="24"/>
          <w:szCs w:val="24"/>
        </w:rPr>
        <w:t>Articolo 9 della Costituzione</w:t>
      </w:r>
    </w:p>
    <w:p w14:paraId="6337DC69" w14:textId="5F2B121C" w:rsidR="005562D8" w:rsidRPr="004F4639" w:rsidRDefault="005562D8" w:rsidP="004F4639">
      <w:pPr>
        <w:pStyle w:val="Titolo1"/>
        <w:spacing w:line="276" w:lineRule="auto"/>
        <w:ind w:left="0"/>
        <w:jc w:val="both"/>
        <w:rPr>
          <w:rFonts w:ascii="Aptos" w:hAnsi="Aptos" w:cstheme="minorHAnsi"/>
          <w:b w:val="0"/>
          <w:bCs w:val="0"/>
          <w:sz w:val="24"/>
          <w:szCs w:val="24"/>
        </w:rPr>
      </w:pPr>
      <w:r w:rsidRPr="004F4639">
        <w:rPr>
          <w:rFonts w:ascii="Aptos" w:hAnsi="Aptos" w:cstheme="minorHAnsi"/>
          <w:b w:val="0"/>
          <w:bCs w:val="0"/>
          <w:sz w:val="24"/>
          <w:szCs w:val="24"/>
        </w:rPr>
        <w:t>Articolo 54-bis del decreto legislativo n. 259 del 2003</w:t>
      </w:r>
    </w:p>
    <w:p w14:paraId="13E7FABC" w14:textId="6F8B6FEF" w:rsidR="005562D8" w:rsidRPr="004F4639" w:rsidRDefault="005562D8" w:rsidP="004F4639">
      <w:pPr>
        <w:pStyle w:val="Titolo1"/>
        <w:spacing w:line="276" w:lineRule="auto"/>
        <w:ind w:left="0"/>
        <w:jc w:val="both"/>
        <w:rPr>
          <w:rFonts w:ascii="Aptos" w:hAnsi="Aptos" w:cstheme="minorHAnsi"/>
          <w:b w:val="0"/>
          <w:bCs w:val="0"/>
          <w:sz w:val="24"/>
          <w:szCs w:val="24"/>
        </w:rPr>
      </w:pPr>
      <w:r w:rsidRPr="004F4639">
        <w:rPr>
          <w:rFonts w:ascii="Aptos" w:hAnsi="Aptos" w:cstheme="minorHAnsi"/>
          <w:b w:val="0"/>
          <w:bCs w:val="0"/>
          <w:sz w:val="24"/>
          <w:szCs w:val="24"/>
        </w:rPr>
        <w:t>Articolo 12 della legge n. 1766 del 1927</w:t>
      </w:r>
    </w:p>
    <w:p w14:paraId="73839A9F" w14:textId="0D238E2C" w:rsidR="005562D8" w:rsidRPr="004F4639" w:rsidRDefault="005562D8" w:rsidP="004F4639">
      <w:pPr>
        <w:pStyle w:val="Titolo1"/>
        <w:spacing w:line="276" w:lineRule="auto"/>
        <w:ind w:left="0"/>
        <w:jc w:val="both"/>
        <w:rPr>
          <w:rFonts w:ascii="Aptos" w:hAnsi="Aptos" w:cstheme="minorHAnsi"/>
          <w:b w:val="0"/>
          <w:bCs w:val="0"/>
          <w:sz w:val="24"/>
          <w:szCs w:val="24"/>
        </w:rPr>
      </w:pPr>
      <w:r w:rsidRPr="004F4639">
        <w:rPr>
          <w:rFonts w:ascii="Aptos" w:hAnsi="Aptos" w:cstheme="minorHAnsi"/>
          <w:b w:val="0"/>
          <w:bCs w:val="0"/>
          <w:sz w:val="24"/>
          <w:szCs w:val="24"/>
        </w:rPr>
        <w:t>Articolo 142 del Codice dei beni culturali e del paesaggio</w:t>
      </w:r>
    </w:p>
    <w:p w14:paraId="50005D6C" w14:textId="77777777" w:rsidR="004F4639" w:rsidRPr="004F4639" w:rsidRDefault="004F4639" w:rsidP="004F4639">
      <w:pPr>
        <w:pStyle w:val="Titolo1"/>
        <w:spacing w:line="276" w:lineRule="auto"/>
        <w:ind w:left="0"/>
        <w:jc w:val="both"/>
        <w:rPr>
          <w:rFonts w:ascii="Aptos" w:hAnsi="Aptos" w:cstheme="minorHAnsi"/>
          <w:b w:val="0"/>
          <w:bCs w:val="0"/>
          <w:sz w:val="24"/>
          <w:szCs w:val="24"/>
        </w:rPr>
      </w:pPr>
    </w:p>
    <w:p w14:paraId="3A010A4D" w14:textId="77777777" w:rsidR="004F4639" w:rsidRPr="004F4639" w:rsidRDefault="004F4639" w:rsidP="004F4639">
      <w:pPr>
        <w:pStyle w:val="Titolo1"/>
        <w:spacing w:line="276" w:lineRule="auto"/>
        <w:ind w:left="0"/>
        <w:jc w:val="both"/>
        <w:rPr>
          <w:rFonts w:ascii="Aptos" w:hAnsi="Aptos" w:cstheme="minorHAnsi"/>
          <w:b w:val="0"/>
          <w:bCs w:val="0"/>
          <w:sz w:val="24"/>
          <w:szCs w:val="24"/>
        </w:rPr>
      </w:pPr>
    </w:p>
    <w:p w14:paraId="5765D74C" w14:textId="77777777" w:rsidR="00470B5A" w:rsidRPr="004F4639" w:rsidRDefault="00470B5A" w:rsidP="004F4639">
      <w:pPr>
        <w:pStyle w:val="Titolo1"/>
        <w:spacing w:line="276" w:lineRule="auto"/>
        <w:ind w:left="0"/>
        <w:rPr>
          <w:rFonts w:ascii="Aptos" w:hAnsi="Aptos" w:cstheme="minorHAnsi"/>
          <w:i/>
          <w:iCs/>
          <w:sz w:val="24"/>
          <w:szCs w:val="24"/>
        </w:rPr>
      </w:pPr>
    </w:p>
    <w:p w14:paraId="3B2B64AA" w14:textId="77777777" w:rsidR="004F4639" w:rsidRPr="004F4639" w:rsidRDefault="004F4639" w:rsidP="004F4639">
      <w:pPr>
        <w:pStyle w:val="Titolo1"/>
        <w:spacing w:line="276" w:lineRule="auto"/>
        <w:ind w:left="0"/>
        <w:rPr>
          <w:rFonts w:ascii="Aptos" w:hAnsi="Aptos" w:cstheme="minorHAnsi"/>
          <w:i/>
          <w:iCs/>
          <w:sz w:val="24"/>
          <w:szCs w:val="24"/>
        </w:rPr>
      </w:pPr>
    </w:p>
    <w:p w14:paraId="745936BB" w14:textId="52B67BD8" w:rsidR="004801D1" w:rsidRPr="004F4639" w:rsidRDefault="00197FA0" w:rsidP="004F4639">
      <w:pPr>
        <w:pStyle w:val="Titolo1"/>
        <w:spacing w:line="276" w:lineRule="auto"/>
        <w:ind w:left="0"/>
        <w:jc w:val="both"/>
        <w:rPr>
          <w:rFonts w:ascii="Aptos" w:hAnsi="Aptos" w:cstheme="minorHAnsi"/>
          <w:sz w:val="24"/>
          <w:szCs w:val="24"/>
        </w:rPr>
      </w:pPr>
      <w:r w:rsidRPr="004F4639">
        <w:rPr>
          <w:rFonts w:ascii="Aptos" w:hAnsi="Aptos" w:cstheme="minorHAnsi"/>
          <w:sz w:val="24"/>
          <w:szCs w:val="24"/>
        </w:rPr>
        <w:t>IN</w:t>
      </w:r>
      <w:r w:rsidRPr="004F4639">
        <w:rPr>
          <w:rFonts w:ascii="Aptos" w:hAnsi="Aptos" w:cstheme="minorHAnsi"/>
          <w:spacing w:val="2"/>
          <w:sz w:val="24"/>
          <w:szCs w:val="24"/>
        </w:rPr>
        <w:t xml:space="preserve"> </w:t>
      </w:r>
      <w:r w:rsidRPr="004F4639">
        <w:rPr>
          <w:rFonts w:ascii="Aptos" w:hAnsi="Aptos" w:cstheme="minorHAnsi"/>
          <w:sz w:val="24"/>
          <w:szCs w:val="24"/>
        </w:rPr>
        <w:t>SINTESI</w:t>
      </w:r>
      <w:r w:rsidR="00D45779" w:rsidRPr="004F4639">
        <w:rPr>
          <w:rFonts w:ascii="Aptos" w:hAnsi="Aptos" w:cstheme="minorHAnsi"/>
          <w:sz w:val="24"/>
          <w:szCs w:val="24"/>
        </w:rPr>
        <w:t>:</w:t>
      </w:r>
      <w:r w:rsidR="001559DB" w:rsidRPr="004F4639">
        <w:rPr>
          <w:rFonts w:ascii="Aptos" w:hAnsi="Aptos" w:cstheme="minorHAnsi"/>
          <w:sz w:val="24"/>
          <w:szCs w:val="24"/>
        </w:rPr>
        <w:t xml:space="preserve"> </w:t>
      </w:r>
    </w:p>
    <w:p w14:paraId="7AAB53F9" w14:textId="586E99EA" w:rsidR="00F47C4C" w:rsidRPr="004F4639" w:rsidRDefault="00CE3457" w:rsidP="004F4639">
      <w:pPr>
        <w:pStyle w:val="Titolo1"/>
        <w:spacing w:line="276" w:lineRule="auto"/>
        <w:ind w:left="0"/>
        <w:jc w:val="both"/>
        <w:rPr>
          <w:rFonts w:ascii="Aptos" w:hAnsi="Aptos" w:cstheme="minorHAnsi"/>
          <w:b w:val="0"/>
          <w:bCs w:val="0"/>
          <w:sz w:val="24"/>
          <w:szCs w:val="24"/>
        </w:rPr>
      </w:pPr>
      <w:r w:rsidRPr="004F4639">
        <w:rPr>
          <w:rFonts w:ascii="Aptos" w:hAnsi="Aptos" w:cstheme="minorHAnsi"/>
          <w:b w:val="0"/>
          <w:bCs w:val="0"/>
          <w:sz w:val="24"/>
          <w:szCs w:val="24"/>
        </w:rPr>
        <w:t>Con la sentenza n. 121/2026 la Corte costituzionale riafferma il valore degli usi civici quali strumenti di tutela del territorio agricolo, del paesaggio e dell’ambiente. La Consulta ha confermato la legittimità della semplificazione che esclude l’autorizzazione al mutamento di destinazione d’uso per l’installazione di infrastrutture di telecomunicazione, ma ha dichiarato illegittima la norma che eliminava il vincolo paesaggistico sulle aree gravate da usi civici. La decisione ribadisce che lo sviluppo delle reti digitali non può tradursi nella compressione delle tutele ambientali e paesaggistiche, imponendo un concreto bilanciamento tra interesse pubblico e salvaguardia del patrimonio rurale e delle proprietà collettive</w:t>
      </w:r>
    </w:p>
    <w:p w14:paraId="2DE38A0E" w14:textId="77777777" w:rsidR="00456017" w:rsidRPr="004F4639" w:rsidRDefault="00456017" w:rsidP="004F4639">
      <w:pPr>
        <w:pStyle w:val="Titolo1"/>
        <w:spacing w:line="276" w:lineRule="auto"/>
        <w:ind w:left="0"/>
        <w:jc w:val="both"/>
        <w:rPr>
          <w:rFonts w:ascii="Aptos" w:hAnsi="Aptos" w:cstheme="minorHAnsi"/>
          <w:sz w:val="24"/>
          <w:szCs w:val="24"/>
        </w:rPr>
      </w:pPr>
    </w:p>
    <w:p w14:paraId="7EFB5EC3" w14:textId="77777777" w:rsidR="005F36A9" w:rsidRPr="004F4639" w:rsidRDefault="005F36A9" w:rsidP="004F4639">
      <w:pPr>
        <w:pStyle w:val="Titolo1"/>
        <w:spacing w:line="276" w:lineRule="auto"/>
        <w:jc w:val="both"/>
        <w:rPr>
          <w:rFonts w:ascii="Aptos" w:hAnsi="Aptos" w:cstheme="minorHAnsi"/>
          <w:color w:val="333333"/>
          <w:sz w:val="24"/>
          <w:szCs w:val="24"/>
          <w:shd w:val="clear" w:color="auto" w:fill="FFFFFF"/>
        </w:rPr>
      </w:pPr>
    </w:p>
    <w:p w14:paraId="0EB53F31" w14:textId="77777777" w:rsidR="00835A58" w:rsidRPr="004F4639" w:rsidRDefault="00835A58" w:rsidP="004F4639">
      <w:pPr>
        <w:spacing w:line="276" w:lineRule="auto"/>
        <w:jc w:val="both"/>
        <w:rPr>
          <w:rFonts w:ascii="Aptos" w:hAnsi="Aptos" w:cstheme="minorHAnsi"/>
          <w:sz w:val="24"/>
          <w:szCs w:val="24"/>
        </w:rPr>
      </w:pPr>
    </w:p>
    <w:p w14:paraId="72CE9E01" w14:textId="488A2885" w:rsidR="003A3EC6" w:rsidRPr="00B6207E" w:rsidRDefault="003A3EC6" w:rsidP="00B6207E">
      <w:pPr>
        <w:spacing w:line="276" w:lineRule="auto"/>
        <w:jc w:val="both"/>
        <w:rPr>
          <w:rFonts w:ascii="Aptos" w:hAnsi="Aptos" w:cstheme="minorHAnsi"/>
        </w:rPr>
        <w:sectPr w:rsidR="003A3EC6" w:rsidRPr="00B6207E" w:rsidSect="00C8507F">
          <w:type w:val="continuous"/>
          <w:pgSz w:w="11910" w:h="16840"/>
          <w:pgMar w:top="560" w:right="1020" w:bottom="280" w:left="8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2C50E753" w14:textId="75C6EA0F" w:rsidR="00835A58" w:rsidRPr="00B6207E" w:rsidRDefault="00103476" w:rsidP="00B6207E">
      <w:pPr>
        <w:pStyle w:val="Corpotesto"/>
        <w:spacing w:line="276" w:lineRule="auto"/>
        <w:ind w:left="-28"/>
        <w:jc w:val="both"/>
        <w:rPr>
          <w:rFonts w:ascii="Aptos" w:hAnsi="Aptos" w:cstheme="minorHAnsi"/>
        </w:rPr>
      </w:pPr>
      <w:r w:rsidRPr="00B6207E">
        <w:rPr>
          <w:rFonts w:ascii="Aptos" w:hAnsi="Aptos" w:cstheme="minorHAnsi"/>
          <w:noProof/>
          <w:lang w:eastAsia="it-IT"/>
        </w:rPr>
        <w:lastRenderedPageBreak/>
        <mc:AlternateContent>
          <mc:Choice Requires="wpg">
            <w:drawing>
              <wp:inline distT="0" distB="0" distL="0" distR="0" wp14:anchorId="75055A5F" wp14:editId="03F8AB0E">
                <wp:extent cx="6300470" cy="26035"/>
                <wp:effectExtent l="0" t="0" r="0" b="0"/>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9" name="Rectangle 5"/>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3CF704" id="Group 4"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0TjQESAIA&#10;AAUFAAAOAAAAAAAAAAAAAAAAAC4CAABkcnMvZTJvRG9jLnhtbFBLAQItABQABgAIAAAAIQDnbFAu&#10;3AAAAAMBAAAPAAAAAAAAAAAAAAAAAKIEAABkcnMvZG93bnJldi54bWxQSwUGAAAAAAQABADzAAAA&#10;qwUAAAAA&#10;">
                <v:rect id="Rectangle 5"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" fillcolor="#00893d" stroked="f"/>
                <w10:anchorlock/>
              </v:group>
            </w:pict>
          </mc:Fallback>
        </mc:AlternateContent>
      </w:r>
    </w:p>
    <w:p w14:paraId="36C72781" w14:textId="523B3772" w:rsidR="00835A58" w:rsidRDefault="004F4639" w:rsidP="00B6207E">
      <w:pPr>
        <w:ind w:right="109"/>
        <w:jc w:val="both"/>
        <w:rPr>
          <w:rFonts w:ascii="Aptos" w:hAnsi="Aptos" w:cstheme="minorHAnsi"/>
          <w:b/>
          <w:i/>
          <w:color w:val="007736"/>
          <w:sz w:val="20"/>
          <w:szCs w:val="20"/>
        </w:rPr>
      </w:pPr>
      <w:r>
        <w:rPr>
          <w:rFonts w:ascii="Aptos" w:hAnsi="Aptos" w:cstheme="minorHAnsi"/>
          <w:b/>
          <w:i/>
          <w:color w:val="007736"/>
          <w:sz w:val="20"/>
          <w:szCs w:val="20"/>
        </w:rPr>
        <w:t xml:space="preserve">                                                                                                            </w:t>
      </w:r>
      <w:r w:rsidR="00D2187D" w:rsidRPr="00B6207E">
        <w:rPr>
          <w:rFonts w:ascii="Aptos" w:hAnsi="Aptos" w:cstheme="minorHAnsi"/>
          <w:b/>
          <w:i/>
          <w:color w:val="007736"/>
          <w:sz w:val="20"/>
          <w:szCs w:val="20"/>
        </w:rPr>
        <w:t xml:space="preserve">Direzione </w:t>
      </w:r>
      <w:r w:rsidR="00485B9B" w:rsidRPr="00485B9B">
        <w:rPr>
          <w:rFonts w:ascii="Aptos" w:hAnsi="Aptos" w:cstheme="minorHAnsi"/>
          <w:b/>
          <w:i/>
          <w:color w:val="007736"/>
          <w:sz w:val="20"/>
          <w:szCs w:val="20"/>
        </w:rPr>
        <w:t>politiche del lavoro, welfare e sicurezza sul lavoro</w:t>
      </w:r>
    </w:p>
    <w:p w14:paraId="11435D3A" w14:textId="087AFDF8" w:rsidR="00835A58" w:rsidRPr="00B6207E" w:rsidRDefault="00D2187D" w:rsidP="00B6207E">
      <w:pPr>
        <w:tabs>
          <w:tab w:val="left" w:pos="5731"/>
        </w:tabs>
        <w:ind w:right="107"/>
        <w:jc w:val="both"/>
        <w:rPr>
          <w:rFonts w:ascii="Aptos" w:hAnsi="Aptos" w:cstheme="minorHAnsi"/>
          <w:i/>
          <w:sz w:val="20"/>
          <w:szCs w:val="20"/>
        </w:rPr>
      </w:pPr>
      <w:r w:rsidRPr="00B6207E">
        <w:rPr>
          <w:rFonts w:ascii="Aptos" w:hAnsi="Aptos" w:cstheme="minorHAnsi"/>
          <w:b/>
          <w:i/>
          <w:sz w:val="20"/>
          <w:szCs w:val="20"/>
        </w:rPr>
        <w:t>GC.</w:t>
      </w:r>
      <w:r w:rsidR="004F4639">
        <w:rPr>
          <w:rFonts w:ascii="Aptos" w:hAnsi="Aptos" w:cstheme="minorHAnsi"/>
          <w:b/>
          <w:i/>
          <w:sz w:val="20"/>
          <w:szCs w:val="20"/>
        </w:rPr>
        <w:t>cl</w:t>
      </w:r>
      <w:r w:rsidR="000D1587" w:rsidRPr="00B6207E">
        <w:rPr>
          <w:rFonts w:ascii="Aptos" w:hAnsi="Aptos" w:cstheme="minorHAnsi"/>
          <w:b/>
          <w:i/>
          <w:sz w:val="20"/>
          <w:szCs w:val="20"/>
        </w:rPr>
        <w:t xml:space="preserve"> </w:t>
      </w:r>
      <w:r w:rsidR="00197FA0" w:rsidRPr="00B6207E">
        <w:rPr>
          <w:rFonts w:ascii="Aptos" w:hAnsi="Aptos" w:cstheme="minorHAnsi"/>
          <w:b/>
          <w:i/>
          <w:sz w:val="20"/>
          <w:szCs w:val="20"/>
        </w:rPr>
        <w:tab/>
      </w:r>
      <w:r w:rsidR="00197FA0" w:rsidRPr="00B6207E">
        <w:rPr>
          <w:rFonts w:ascii="Aptos" w:hAnsi="Aptos" w:cstheme="minorHAnsi"/>
          <w:i/>
          <w:sz w:val="20"/>
          <w:szCs w:val="20"/>
        </w:rPr>
        <w:t>Corso</w:t>
      </w:r>
      <w:r w:rsidR="00197FA0" w:rsidRPr="00B6207E">
        <w:rPr>
          <w:rFonts w:ascii="Aptos" w:hAnsi="Aptos" w:cstheme="minorHAnsi"/>
          <w:i/>
          <w:spacing w:val="-1"/>
          <w:sz w:val="20"/>
          <w:szCs w:val="20"/>
        </w:rPr>
        <w:t xml:space="preserve"> </w:t>
      </w:r>
      <w:r w:rsidR="00197FA0" w:rsidRPr="00B6207E">
        <w:rPr>
          <w:rFonts w:ascii="Aptos" w:hAnsi="Aptos" w:cstheme="minorHAnsi"/>
          <w:i/>
          <w:sz w:val="20"/>
          <w:szCs w:val="20"/>
        </w:rPr>
        <w:t>Vittorio</w:t>
      </w:r>
      <w:r w:rsidR="00197FA0" w:rsidRPr="00B6207E">
        <w:rPr>
          <w:rFonts w:ascii="Aptos" w:hAnsi="Aptos" w:cstheme="minorHAnsi"/>
          <w:i/>
          <w:spacing w:val="-2"/>
          <w:sz w:val="20"/>
          <w:szCs w:val="20"/>
        </w:rPr>
        <w:t xml:space="preserve"> </w:t>
      </w:r>
      <w:r w:rsidR="00197FA0" w:rsidRPr="00B6207E">
        <w:rPr>
          <w:rFonts w:ascii="Aptos" w:hAnsi="Aptos" w:cstheme="minorHAnsi"/>
          <w:i/>
          <w:sz w:val="20"/>
          <w:szCs w:val="20"/>
        </w:rPr>
        <w:t>Emanuele II,</w:t>
      </w:r>
      <w:r w:rsidR="00197FA0" w:rsidRPr="00B6207E">
        <w:rPr>
          <w:rFonts w:ascii="Aptos" w:hAnsi="Aptos" w:cstheme="minorHAnsi"/>
          <w:i/>
          <w:spacing w:val="-6"/>
          <w:sz w:val="20"/>
          <w:szCs w:val="20"/>
        </w:rPr>
        <w:t xml:space="preserve"> </w:t>
      </w:r>
      <w:r w:rsidR="00197FA0" w:rsidRPr="00B6207E">
        <w:rPr>
          <w:rFonts w:ascii="Aptos" w:hAnsi="Aptos" w:cstheme="minorHAnsi"/>
          <w:i/>
          <w:sz w:val="20"/>
          <w:szCs w:val="20"/>
        </w:rPr>
        <w:t>101</w:t>
      </w:r>
      <w:r w:rsidR="00197FA0" w:rsidRPr="00B6207E">
        <w:rPr>
          <w:rFonts w:ascii="Aptos" w:hAnsi="Aptos" w:cstheme="minorHAnsi"/>
          <w:i/>
          <w:spacing w:val="3"/>
          <w:sz w:val="20"/>
          <w:szCs w:val="20"/>
        </w:rPr>
        <w:t xml:space="preserve"> </w:t>
      </w:r>
      <w:r w:rsidR="00197FA0" w:rsidRPr="00B6207E">
        <w:rPr>
          <w:rFonts w:ascii="Aptos" w:hAnsi="Aptos" w:cstheme="minorHAnsi"/>
          <w:i/>
          <w:sz w:val="20"/>
          <w:szCs w:val="20"/>
        </w:rPr>
        <w:t>-</w:t>
      </w:r>
      <w:r w:rsidR="00197FA0" w:rsidRPr="00B6207E">
        <w:rPr>
          <w:rFonts w:ascii="Aptos" w:hAnsi="Aptos" w:cstheme="minorHAnsi"/>
          <w:i/>
          <w:spacing w:val="-3"/>
          <w:sz w:val="20"/>
          <w:szCs w:val="20"/>
        </w:rPr>
        <w:t xml:space="preserve"> </w:t>
      </w:r>
      <w:r w:rsidR="00197FA0" w:rsidRPr="00B6207E">
        <w:rPr>
          <w:rFonts w:ascii="Aptos" w:hAnsi="Aptos" w:cstheme="minorHAnsi"/>
          <w:i/>
          <w:sz w:val="20"/>
          <w:szCs w:val="20"/>
        </w:rPr>
        <w:t>00186 Roma</w:t>
      </w:r>
    </w:p>
    <w:p w14:paraId="605C39FC" w14:textId="7AB03056" w:rsidR="00835A58" w:rsidRPr="00B6207E" w:rsidRDefault="00197FA0" w:rsidP="00B6207E">
      <w:pPr>
        <w:tabs>
          <w:tab w:val="left" w:pos="5719"/>
        </w:tabs>
        <w:ind w:right="109"/>
        <w:jc w:val="both"/>
        <w:rPr>
          <w:rFonts w:ascii="Aptos" w:hAnsi="Aptos" w:cstheme="minorHAnsi"/>
          <w:i/>
          <w:sz w:val="20"/>
          <w:szCs w:val="20"/>
        </w:rPr>
      </w:pPr>
      <w:r w:rsidRPr="00B6207E">
        <w:rPr>
          <w:rFonts w:ascii="Aptos" w:hAnsi="Aptos" w:cstheme="minorHAnsi"/>
          <w:b/>
          <w:i/>
          <w:sz w:val="20"/>
          <w:szCs w:val="20"/>
        </w:rPr>
        <w:t>Circolare</w:t>
      </w:r>
      <w:r w:rsidRPr="00B6207E">
        <w:rPr>
          <w:rFonts w:ascii="Aptos" w:hAnsi="Aptos" w:cstheme="minorHAnsi"/>
          <w:b/>
          <w:i/>
          <w:spacing w:val="-1"/>
          <w:sz w:val="20"/>
          <w:szCs w:val="20"/>
        </w:rPr>
        <w:t xml:space="preserve"> </w:t>
      </w:r>
      <w:r w:rsidRPr="00B6207E">
        <w:rPr>
          <w:rFonts w:ascii="Aptos" w:hAnsi="Aptos" w:cstheme="minorHAnsi"/>
          <w:b/>
          <w:i/>
          <w:sz w:val="20"/>
          <w:szCs w:val="20"/>
        </w:rPr>
        <w:t>n.</w:t>
      </w:r>
      <w:r w:rsidR="00265959">
        <w:rPr>
          <w:rFonts w:ascii="Aptos" w:hAnsi="Aptos" w:cstheme="minorHAnsi"/>
          <w:b/>
          <w:i/>
          <w:sz w:val="20"/>
          <w:szCs w:val="20"/>
        </w:rPr>
        <w:t xml:space="preserve"> 17669</w:t>
      </w:r>
      <w:r w:rsidRPr="00B6207E">
        <w:rPr>
          <w:rFonts w:ascii="Aptos" w:hAnsi="Aptos" w:cstheme="minorHAnsi"/>
          <w:b/>
          <w:i/>
          <w:sz w:val="20"/>
          <w:szCs w:val="20"/>
        </w:rPr>
        <w:tab/>
      </w:r>
      <w:r w:rsidRPr="00B6207E">
        <w:rPr>
          <w:rFonts w:ascii="Aptos" w:hAnsi="Aptos" w:cstheme="minorHAnsi"/>
          <w:i/>
          <w:sz w:val="20"/>
          <w:szCs w:val="20"/>
        </w:rPr>
        <w:t>tel.:</w:t>
      </w:r>
      <w:r w:rsidRPr="00B6207E">
        <w:rPr>
          <w:rFonts w:ascii="Aptos" w:hAnsi="Aptos" w:cstheme="minorHAnsi"/>
          <w:i/>
          <w:spacing w:val="-1"/>
          <w:sz w:val="20"/>
          <w:szCs w:val="20"/>
        </w:rPr>
        <w:t xml:space="preserve"> </w:t>
      </w:r>
      <w:r w:rsidRPr="00B6207E">
        <w:rPr>
          <w:rFonts w:ascii="Aptos" w:hAnsi="Aptos" w:cstheme="minorHAnsi"/>
          <w:i/>
          <w:sz w:val="20"/>
          <w:szCs w:val="20"/>
        </w:rPr>
        <w:t>+39.06.68.52.229 -</w:t>
      </w:r>
      <w:r w:rsidRPr="00B6207E">
        <w:rPr>
          <w:rFonts w:ascii="Aptos" w:hAnsi="Aptos" w:cstheme="minorHAnsi"/>
          <w:i/>
          <w:spacing w:val="-1"/>
          <w:sz w:val="20"/>
          <w:szCs w:val="20"/>
        </w:rPr>
        <w:t xml:space="preserve"> </w:t>
      </w:r>
      <w:r w:rsidRPr="00B6207E">
        <w:rPr>
          <w:rFonts w:ascii="Aptos" w:hAnsi="Aptos" w:cstheme="minorHAnsi"/>
          <w:i/>
          <w:sz w:val="20"/>
          <w:szCs w:val="20"/>
        </w:rPr>
        <w:t>fax:</w:t>
      </w:r>
      <w:r w:rsidRPr="00B6207E">
        <w:rPr>
          <w:rFonts w:ascii="Aptos" w:hAnsi="Aptos" w:cstheme="minorHAnsi"/>
          <w:i/>
          <w:spacing w:val="-2"/>
          <w:sz w:val="20"/>
          <w:szCs w:val="20"/>
        </w:rPr>
        <w:t xml:space="preserve"> </w:t>
      </w:r>
      <w:r w:rsidRPr="00B6207E">
        <w:rPr>
          <w:rFonts w:ascii="Aptos" w:hAnsi="Aptos" w:cstheme="minorHAnsi"/>
          <w:i/>
          <w:sz w:val="20"/>
          <w:szCs w:val="20"/>
        </w:rPr>
        <w:t>+39.06.68.52.307</w:t>
      </w:r>
    </w:p>
    <w:p w14:paraId="4D295010" w14:textId="62DF9D9E" w:rsidR="00835A58" w:rsidRPr="00B6207E" w:rsidRDefault="00197FA0" w:rsidP="00B6207E">
      <w:pPr>
        <w:tabs>
          <w:tab w:val="left" w:pos="6830"/>
        </w:tabs>
        <w:ind w:right="109"/>
        <w:jc w:val="both"/>
        <w:rPr>
          <w:rFonts w:ascii="Aptos" w:hAnsi="Aptos" w:cstheme="minorHAnsi"/>
          <w:i/>
          <w:sz w:val="20"/>
          <w:szCs w:val="20"/>
        </w:rPr>
      </w:pPr>
      <w:r w:rsidRPr="00B6207E">
        <w:rPr>
          <w:rFonts w:ascii="Aptos" w:hAnsi="Aptos" w:cstheme="minorHAnsi"/>
          <w:b/>
          <w:i/>
          <w:sz w:val="20"/>
          <w:szCs w:val="20"/>
        </w:rPr>
        <w:t>Prot.n.</w:t>
      </w:r>
      <w:r w:rsidRPr="00B6207E">
        <w:rPr>
          <w:rFonts w:ascii="Aptos" w:hAnsi="Aptos" w:cstheme="minorHAnsi"/>
          <w:b/>
          <w:i/>
          <w:spacing w:val="-2"/>
          <w:sz w:val="20"/>
          <w:szCs w:val="20"/>
        </w:rPr>
        <w:t xml:space="preserve"> </w:t>
      </w:r>
      <w:r w:rsidR="00265959">
        <w:rPr>
          <w:rFonts w:ascii="Aptos" w:hAnsi="Aptos" w:cstheme="minorHAnsi"/>
          <w:b/>
          <w:i/>
          <w:spacing w:val="-2"/>
          <w:sz w:val="20"/>
          <w:szCs w:val="20"/>
        </w:rPr>
        <w:t>764</w:t>
      </w:r>
      <w:r w:rsidRPr="00B6207E">
        <w:rPr>
          <w:rFonts w:ascii="Aptos" w:hAnsi="Aptos" w:cstheme="minorHAnsi"/>
          <w:b/>
          <w:i/>
          <w:sz w:val="20"/>
          <w:szCs w:val="20"/>
        </w:rPr>
        <w:tab/>
      </w:r>
      <w:r w:rsidRPr="00B6207E">
        <w:rPr>
          <w:rFonts w:ascii="Aptos" w:hAnsi="Aptos" w:cstheme="minorHAnsi"/>
          <w:i/>
          <w:sz w:val="20"/>
          <w:szCs w:val="20"/>
        </w:rPr>
        <w:t>e-mail:</w:t>
      </w:r>
      <w:r w:rsidRPr="00B6207E">
        <w:rPr>
          <w:rFonts w:ascii="Aptos" w:hAnsi="Aptos" w:cstheme="minorHAnsi"/>
          <w:i/>
          <w:spacing w:val="-5"/>
          <w:sz w:val="20"/>
          <w:szCs w:val="20"/>
        </w:rPr>
        <w:t xml:space="preserve"> </w:t>
      </w:r>
      <w:hyperlink r:id="rId10">
        <w:r w:rsidRPr="00B6207E">
          <w:rPr>
            <w:rFonts w:ascii="Aptos" w:hAnsi="Aptos" w:cstheme="minorHAnsi"/>
            <w:i/>
            <w:color w:val="0000FF"/>
            <w:sz w:val="20"/>
            <w:szCs w:val="20"/>
            <w:u w:val="single" w:color="0000FF"/>
          </w:rPr>
          <w:t>legale@confagricoltura.it</w:t>
        </w:r>
      </w:hyperlink>
    </w:p>
    <w:p w14:paraId="44F155A5" w14:textId="5278E2F9" w:rsidR="00835A58" w:rsidRPr="00265959" w:rsidRDefault="00265959" w:rsidP="00265959">
      <w:pPr>
        <w:spacing w:after="47"/>
        <w:ind w:right="111"/>
        <w:jc w:val="both"/>
        <w:rPr>
          <w:rFonts w:ascii="Aptos" w:hAnsi="Aptos" w:cstheme="minorHAnsi"/>
          <w:i/>
          <w:sz w:val="20"/>
          <w:szCs w:val="20"/>
        </w:rPr>
      </w:pPr>
      <w:r w:rsidRPr="00265959">
        <w:rPr>
          <w:rFonts w:ascii="Aptos" w:hAnsi="Aptos" w:cstheme="minorHAnsi"/>
          <w:b/>
          <w:bCs/>
          <w:i/>
          <w:sz w:val="20"/>
          <w:szCs w:val="20"/>
        </w:rPr>
        <w:t>Roma, 14 luglio 2026</w:t>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sidR="004F4639" w:rsidRPr="00265959">
        <w:rPr>
          <w:rFonts w:ascii="Aptos" w:hAnsi="Aptos" w:cstheme="minorHAnsi"/>
          <w:i/>
          <w:sz w:val="20"/>
          <w:szCs w:val="20"/>
        </w:rPr>
        <w:t xml:space="preserve">         </w:t>
      </w:r>
      <w:r w:rsidR="00197FA0" w:rsidRPr="00265959">
        <w:rPr>
          <w:rFonts w:ascii="Aptos" w:hAnsi="Aptos" w:cstheme="minorHAnsi"/>
          <w:i/>
          <w:sz w:val="20"/>
          <w:szCs w:val="20"/>
        </w:rPr>
        <w:t>sito</w:t>
      </w:r>
      <w:r w:rsidR="00197FA0" w:rsidRPr="00265959">
        <w:rPr>
          <w:rFonts w:ascii="Aptos" w:hAnsi="Aptos" w:cstheme="minorHAnsi"/>
          <w:i/>
          <w:spacing w:val="-4"/>
          <w:sz w:val="20"/>
          <w:szCs w:val="20"/>
        </w:rPr>
        <w:t xml:space="preserve"> </w:t>
      </w:r>
      <w:r w:rsidR="00197FA0" w:rsidRPr="00265959">
        <w:rPr>
          <w:rFonts w:ascii="Aptos" w:hAnsi="Aptos" w:cstheme="minorHAnsi"/>
          <w:i/>
          <w:sz w:val="20"/>
          <w:szCs w:val="20"/>
        </w:rPr>
        <w:t>web:</w:t>
      </w:r>
      <w:r w:rsidR="00197FA0" w:rsidRPr="00265959">
        <w:rPr>
          <w:rFonts w:ascii="Aptos" w:hAnsi="Aptos" w:cstheme="minorHAnsi"/>
          <w:i/>
          <w:spacing w:val="-2"/>
          <w:sz w:val="20"/>
          <w:szCs w:val="20"/>
        </w:rPr>
        <w:t xml:space="preserve"> </w:t>
      </w:r>
      <w:hyperlink r:id="rId11">
        <w:r w:rsidR="00197FA0" w:rsidRPr="00265959">
          <w:rPr>
            <w:rFonts w:ascii="Aptos" w:hAnsi="Aptos" w:cstheme="minorHAnsi"/>
            <w:i/>
            <w:color w:val="0000FF"/>
            <w:sz w:val="20"/>
            <w:szCs w:val="20"/>
            <w:u w:val="single" w:color="0000FF"/>
          </w:rPr>
          <w:t>www.confagricoltura.it</w:t>
        </w:r>
      </w:hyperlink>
    </w:p>
    <w:p w14:paraId="796F80FE" w14:textId="050F373C" w:rsidR="00835A58" w:rsidRPr="00B6207E" w:rsidRDefault="00103476" w:rsidP="00B6207E">
      <w:pPr>
        <w:pStyle w:val="Corpotesto"/>
        <w:spacing w:line="276" w:lineRule="auto"/>
        <w:ind w:left="-28"/>
        <w:jc w:val="both"/>
        <w:rPr>
          <w:rFonts w:ascii="Aptos" w:hAnsi="Aptos" w:cstheme="minorHAnsi"/>
        </w:rPr>
      </w:pPr>
      <w:r w:rsidRPr="00B6207E">
        <w:rPr>
          <w:rFonts w:ascii="Aptos" w:hAnsi="Aptos" w:cstheme="minorHAnsi"/>
          <w:noProof/>
          <w:lang w:eastAsia="it-IT"/>
        </w:rPr>
        <mc:AlternateContent>
          <mc:Choice Requires="wpg">
            <w:drawing>
              <wp:inline distT="0" distB="0" distL="0" distR="0" wp14:anchorId="77E5C7E2" wp14:editId="6619C108">
                <wp:extent cx="6300470" cy="26035"/>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6" name="Rectangle 3"/>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FD01F95" id="Group 2"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lBCEZSAIA&#10;AAUFAAAOAAAAAAAAAAAAAAAAAC4CAABkcnMvZTJvRG9jLnhtbFBLAQItABQABgAIAAAAIQDnbFAu&#10;3AAAAAMBAAAPAAAAAAAAAAAAAAAAAKIEAABkcnMvZG93bnJldi54bWxQSwUGAAAAAAQABADzAAAA&#10;qwUAAAAA&#10;">
                <v:rect id="Rectangle 3"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" fillcolor="#00893d" stroked="f"/>
                <w10:anchorlock/>
              </v:group>
            </w:pict>
          </mc:Fallback>
        </mc:AlternateContent>
      </w:r>
    </w:p>
    <w:p w14:paraId="45B4793F" w14:textId="77777777" w:rsidR="00835A58" w:rsidRPr="00B6207E" w:rsidRDefault="00835A58" w:rsidP="00B6207E">
      <w:pPr>
        <w:pStyle w:val="Corpotesto"/>
        <w:spacing w:before="8" w:line="276" w:lineRule="auto"/>
        <w:jc w:val="both"/>
        <w:rPr>
          <w:rFonts w:ascii="Aptos" w:hAnsi="Aptos" w:cstheme="minorHAnsi"/>
          <w:i/>
        </w:rPr>
      </w:pPr>
    </w:p>
    <w:p w14:paraId="7A1995B9" w14:textId="253F1941" w:rsidR="004801D1" w:rsidRPr="004F4639" w:rsidRDefault="00197FA0" w:rsidP="004F4639">
      <w:pPr>
        <w:pStyle w:val="Titolo1"/>
        <w:spacing w:line="276" w:lineRule="auto"/>
        <w:ind w:left="993" w:hanging="880"/>
        <w:rPr>
          <w:rFonts w:ascii="Aptos" w:hAnsi="Aptos" w:cstheme="minorHAnsi"/>
          <w:b w:val="0"/>
          <w:bCs w:val="0"/>
          <w:i/>
          <w:iCs/>
          <w:sz w:val="24"/>
          <w:szCs w:val="24"/>
        </w:rPr>
      </w:pPr>
      <w:r w:rsidRPr="004F4639">
        <w:rPr>
          <w:rFonts w:ascii="Aptos" w:hAnsi="Aptos" w:cstheme="minorHAnsi"/>
          <w:i/>
          <w:iCs/>
          <w:sz w:val="24"/>
          <w:szCs w:val="24"/>
        </w:rPr>
        <w:t>Oggetto</w:t>
      </w:r>
      <w:r w:rsidRPr="004F4639">
        <w:rPr>
          <w:rFonts w:ascii="Aptos" w:hAnsi="Aptos" w:cstheme="minorHAnsi"/>
          <w:b w:val="0"/>
          <w:bCs w:val="0"/>
          <w:i/>
          <w:iCs/>
          <w:sz w:val="24"/>
          <w:szCs w:val="24"/>
        </w:rPr>
        <w:t>:</w:t>
      </w:r>
      <w:bookmarkStart w:id="3" w:name="_Hlk101260103"/>
      <w:r w:rsidR="001E5A1B" w:rsidRPr="004F4639">
        <w:rPr>
          <w:rFonts w:ascii="Aptos" w:hAnsi="Aptos" w:cstheme="minorHAnsi"/>
          <w:b w:val="0"/>
          <w:bCs w:val="0"/>
          <w:i/>
          <w:iCs/>
          <w:sz w:val="24"/>
          <w:szCs w:val="24"/>
        </w:rPr>
        <w:t xml:space="preserve"> </w:t>
      </w:r>
      <w:bookmarkStart w:id="4" w:name="_Hlk178325981"/>
      <w:bookmarkEnd w:id="3"/>
      <w:r w:rsidR="00CE3457" w:rsidRPr="004F4639">
        <w:rPr>
          <w:rFonts w:ascii="Aptos" w:hAnsi="Aptos" w:cstheme="minorHAnsi"/>
          <w:b w:val="0"/>
          <w:bCs w:val="0"/>
          <w:i/>
          <w:iCs/>
          <w:sz w:val="24"/>
          <w:szCs w:val="24"/>
        </w:rPr>
        <w:t>Usi civici: la Consulta conferma la semplificazione sul mutamento di destinazione d’uso, ma ripristina il vincolo paesaggistico</w:t>
      </w:r>
    </w:p>
    <w:p w14:paraId="2502E1AC" w14:textId="77777777" w:rsidR="00B6207E" w:rsidRPr="004F4639" w:rsidRDefault="00B6207E" w:rsidP="004F4639">
      <w:pPr>
        <w:pStyle w:val="Titolo1"/>
        <w:spacing w:line="276" w:lineRule="auto"/>
        <w:ind w:left="0"/>
        <w:jc w:val="both"/>
        <w:rPr>
          <w:rFonts w:ascii="Aptos" w:hAnsi="Aptos" w:cstheme="minorHAnsi"/>
          <w:b w:val="0"/>
          <w:bCs w:val="0"/>
          <w:sz w:val="24"/>
          <w:szCs w:val="24"/>
        </w:rPr>
      </w:pPr>
    </w:p>
    <w:p w14:paraId="117D2B95" w14:textId="77777777" w:rsidR="004F4639" w:rsidRPr="004F4639" w:rsidRDefault="004F4639" w:rsidP="004F4639">
      <w:pPr>
        <w:pStyle w:val="Titolo1"/>
        <w:spacing w:line="276" w:lineRule="auto"/>
        <w:ind w:left="0"/>
        <w:jc w:val="both"/>
        <w:rPr>
          <w:rFonts w:ascii="Aptos" w:hAnsi="Aptos" w:cstheme="minorHAnsi"/>
          <w:b w:val="0"/>
          <w:bCs w:val="0"/>
          <w:sz w:val="24"/>
          <w:szCs w:val="24"/>
        </w:rPr>
      </w:pPr>
    </w:p>
    <w:bookmarkEnd w:id="4"/>
    <w:p w14:paraId="3872FD08" w14:textId="589C6D1E" w:rsidR="000D1587" w:rsidRPr="004F4639" w:rsidRDefault="00D2187D" w:rsidP="004F4639">
      <w:pPr>
        <w:pStyle w:val="Titolo1"/>
        <w:spacing w:before="144" w:line="276" w:lineRule="auto"/>
        <w:ind w:right="6521"/>
        <w:jc w:val="both"/>
        <w:rPr>
          <w:rFonts w:ascii="Aptos" w:hAnsi="Aptos" w:cstheme="minorHAnsi"/>
          <w:b w:val="0"/>
          <w:bCs w:val="0"/>
          <w:i/>
          <w:iCs/>
          <w:sz w:val="24"/>
          <w:szCs w:val="24"/>
        </w:rPr>
      </w:pPr>
      <w:r w:rsidRPr="004F4639">
        <w:rPr>
          <w:rFonts w:ascii="Aptos" w:hAnsi="Aptos" w:cstheme="minorHAnsi"/>
          <w:b w:val="0"/>
          <w:bCs w:val="0"/>
          <w:i/>
          <w:iCs/>
          <w:sz w:val="24"/>
          <w:szCs w:val="24"/>
        </w:rPr>
        <w:t>(a cura di Giordana Campana)</w:t>
      </w:r>
    </w:p>
    <w:p w14:paraId="143831F5" w14:textId="77777777" w:rsidR="004F4639" w:rsidRDefault="004F4639" w:rsidP="004F4639">
      <w:pPr>
        <w:pStyle w:val="Corpotesto"/>
        <w:spacing w:line="276" w:lineRule="auto"/>
        <w:jc w:val="both"/>
        <w:rPr>
          <w:rFonts w:ascii="Aptos" w:hAnsi="Aptos"/>
          <w:sz w:val="24"/>
          <w:szCs w:val="24"/>
        </w:rPr>
      </w:pPr>
    </w:p>
    <w:p w14:paraId="412243EE" w14:textId="77777777" w:rsidR="004F4639" w:rsidRDefault="004F4639" w:rsidP="004F4639">
      <w:pPr>
        <w:pStyle w:val="Corpotesto"/>
        <w:spacing w:line="276" w:lineRule="auto"/>
        <w:jc w:val="both"/>
        <w:rPr>
          <w:rFonts w:ascii="Aptos" w:hAnsi="Aptos"/>
          <w:sz w:val="24"/>
          <w:szCs w:val="24"/>
        </w:rPr>
      </w:pPr>
    </w:p>
    <w:p w14:paraId="455C96B5" w14:textId="4AE15262" w:rsidR="004F4639" w:rsidRPr="004F4639" w:rsidRDefault="00197FA0" w:rsidP="004F4639">
      <w:pPr>
        <w:pStyle w:val="Corpotesto"/>
        <w:spacing w:line="276" w:lineRule="auto"/>
        <w:jc w:val="both"/>
        <w:rPr>
          <w:rFonts w:ascii="Aptos" w:hAnsi="Aptos"/>
          <w:b/>
          <w:bCs/>
          <w:spacing w:val="1"/>
          <w:sz w:val="24"/>
          <w:szCs w:val="24"/>
        </w:rPr>
      </w:pPr>
      <w:r w:rsidRPr="004F4639">
        <w:rPr>
          <w:rFonts w:ascii="Aptos" w:hAnsi="Aptos"/>
          <w:b/>
          <w:bCs/>
          <w:sz w:val="24"/>
          <w:szCs w:val="24"/>
        </w:rPr>
        <w:t>Alle</w:t>
      </w:r>
      <w:r w:rsidRPr="004F4639">
        <w:rPr>
          <w:rFonts w:ascii="Aptos" w:hAnsi="Aptos"/>
          <w:b/>
          <w:bCs/>
          <w:spacing w:val="-2"/>
          <w:sz w:val="24"/>
          <w:szCs w:val="24"/>
        </w:rPr>
        <w:t xml:space="preserve"> </w:t>
      </w:r>
      <w:r w:rsidRPr="004F4639">
        <w:rPr>
          <w:rFonts w:ascii="Aptos" w:hAnsi="Aptos"/>
          <w:b/>
          <w:bCs/>
          <w:sz w:val="24"/>
          <w:szCs w:val="24"/>
        </w:rPr>
        <w:t>Unioni</w:t>
      </w:r>
      <w:r w:rsidRPr="004F4639">
        <w:rPr>
          <w:rFonts w:ascii="Aptos" w:hAnsi="Aptos"/>
          <w:b/>
          <w:bCs/>
          <w:spacing w:val="3"/>
          <w:sz w:val="24"/>
          <w:szCs w:val="24"/>
        </w:rPr>
        <w:t xml:space="preserve"> </w:t>
      </w:r>
      <w:r w:rsidRPr="004F4639">
        <w:rPr>
          <w:rFonts w:ascii="Aptos" w:hAnsi="Aptos"/>
          <w:b/>
          <w:bCs/>
          <w:sz w:val="24"/>
          <w:szCs w:val="24"/>
        </w:rPr>
        <w:t>Provinciali</w:t>
      </w:r>
      <w:r w:rsidRPr="004F4639">
        <w:rPr>
          <w:rFonts w:ascii="Aptos" w:hAnsi="Aptos"/>
          <w:b/>
          <w:bCs/>
          <w:spacing w:val="1"/>
          <w:sz w:val="24"/>
          <w:szCs w:val="24"/>
        </w:rPr>
        <w:t xml:space="preserve"> </w:t>
      </w:r>
      <w:r w:rsidRPr="004F4639">
        <w:rPr>
          <w:rFonts w:ascii="Aptos" w:hAnsi="Aptos"/>
          <w:b/>
          <w:bCs/>
          <w:sz w:val="24"/>
          <w:szCs w:val="24"/>
        </w:rPr>
        <w:t>Agricoltori</w:t>
      </w:r>
      <w:r w:rsidRPr="004F4639">
        <w:rPr>
          <w:rFonts w:ascii="Aptos" w:hAnsi="Aptos"/>
          <w:b/>
          <w:bCs/>
          <w:spacing w:val="1"/>
          <w:sz w:val="24"/>
          <w:szCs w:val="24"/>
        </w:rPr>
        <w:t xml:space="preserve"> </w:t>
      </w:r>
    </w:p>
    <w:p w14:paraId="4217ACD5" w14:textId="32B78456" w:rsidR="00837D35" w:rsidRPr="004F4639" w:rsidRDefault="00197FA0" w:rsidP="004F4639">
      <w:pPr>
        <w:pStyle w:val="Corpotesto"/>
        <w:spacing w:line="276" w:lineRule="auto"/>
        <w:jc w:val="both"/>
        <w:rPr>
          <w:rFonts w:ascii="Aptos" w:hAnsi="Aptos"/>
          <w:b/>
          <w:bCs/>
          <w:spacing w:val="-47"/>
          <w:sz w:val="24"/>
          <w:szCs w:val="24"/>
        </w:rPr>
      </w:pPr>
      <w:r w:rsidRPr="004F4639">
        <w:rPr>
          <w:rFonts w:ascii="Aptos" w:hAnsi="Aptos"/>
          <w:b/>
          <w:bCs/>
          <w:sz w:val="24"/>
          <w:szCs w:val="24"/>
        </w:rPr>
        <w:t>Alle Federazioni Regionali</w:t>
      </w:r>
      <w:r w:rsidR="00837D35" w:rsidRPr="004F4639">
        <w:rPr>
          <w:rFonts w:ascii="Aptos" w:hAnsi="Aptos"/>
          <w:b/>
          <w:bCs/>
          <w:sz w:val="24"/>
          <w:szCs w:val="24"/>
        </w:rPr>
        <w:t xml:space="preserve"> </w:t>
      </w:r>
      <w:r w:rsidRPr="004F4639">
        <w:rPr>
          <w:rFonts w:ascii="Aptos" w:hAnsi="Aptos"/>
          <w:b/>
          <w:bCs/>
          <w:sz w:val="24"/>
          <w:szCs w:val="24"/>
        </w:rPr>
        <w:t>Agricoltori</w:t>
      </w:r>
      <w:r w:rsidRPr="004F4639">
        <w:rPr>
          <w:rFonts w:ascii="Aptos" w:hAnsi="Aptos"/>
          <w:b/>
          <w:bCs/>
          <w:spacing w:val="-47"/>
          <w:sz w:val="24"/>
          <w:szCs w:val="24"/>
        </w:rPr>
        <w:t xml:space="preserve"> </w:t>
      </w:r>
    </w:p>
    <w:p w14:paraId="07573767" w14:textId="4B0CB8BB" w:rsidR="00835A58" w:rsidRPr="004F4639" w:rsidRDefault="00197FA0" w:rsidP="004F4639">
      <w:pPr>
        <w:pStyle w:val="Corpotesto"/>
        <w:spacing w:line="276" w:lineRule="auto"/>
        <w:jc w:val="both"/>
        <w:rPr>
          <w:rFonts w:ascii="Aptos" w:hAnsi="Aptos"/>
          <w:sz w:val="24"/>
          <w:szCs w:val="24"/>
        </w:rPr>
      </w:pPr>
      <w:r w:rsidRPr="004F4639">
        <w:rPr>
          <w:rFonts w:ascii="Aptos" w:hAnsi="Aptos"/>
          <w:b/>
          <w:bCs/>
          <w:sz w:val="24"/>
          <w:szCs w:val="24"/>
        </w:rPr>
        <w:t>Loro</w:t>
      </w:r>
      <w:r w:rsidRPr="004F4639">
        <w:rPr>
          <w:rFonts w:ascii="Aptos" w:hAnsi="Aptos"/>
          <w:b/>
          <w:bCs/>
          <w:spacing w:val="-1"/>
          <w:sz w:val="24"/>
          <w:szCs w:val="24"/>
        </w:rPr>
        <w:t xml:space="preserve"> </w:t>
      </w:r>
      <w:r w:rsidRPr="004F4639">
        <w:rPr>
          <w:rFonts w:ascii="Aptos" w:hAnsi="Aptos"/>
          <w:b/>
          <w:bCs/>
          <w:sz w:val="24"/>
          <w:szCs w:val="24"/>
        </w:rPr>
        <w:t>Sedi</w:t>
      </w:r>
    </w:p>
    <w:p w14:paraId="395CEF02" w14:textId="2B16C04D" w:rsidR="00BF2E7F" w:rsidRPr="004F4639" w:rsidRDefault="00BF2E7F" w:rsidP="004F4639">
      <w:pPr>
        <w:spacing w:line="276" w:lineRule="auto"/>
        <w:jc w:val="both"/>
        <w:rPr>
          <w:rFonts w:ascii="Aptos" w:hAnsi="Aptos" w:cstheme="minorHAnsi"/>
          <w:sz w:val="24"/>
          <w:szCs w:val="24"/>
        </w:rPr>
      </w:pPr>
    </w:p>
    <w:p w14:paraId="6F7084B9" w14:textId="77777777" w:rsidR="00484965" w:rsidRPr="004F4639" w:rsidRDefault="00484965" w:rsidP="004F4639">
      <w:pPr>
        <w:spacing w:line="276" w:lineRule="auto"/>
        <w:jc w:val="both"/>
        <w:rPr>
          <w:rFonts w:ascii="Aptos" w:hAnsi="Aptos" w:cstheme="minorHAnsi"/>
          <w:sz w:val="24"/>
          <w:szCs w:val="24"/>
        </w:rPr>
      </w:pPr>
    </w:p>
    <w:p w14:paraId="37128094" w14:textId="77777777" w:rsidR="005562D8" w:rsidRPr="004F4639"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La Corte costituzionale, con la </w:t>
      </w:r>
      <w:r w:rsidRPr="004F4639">
        <w:rPr>
          <w:rFonts w:ascii="Aptos" w:hAnsi="Aptos" w:cstheme="minorHAnsi"/>
          <w:i/>
          <w:iCs/>
          <w:sz w:val="24"/>
          <w:szCs w:val="24"/>
        </w:rPr>
        <w:t>sentenza n. 121 del 6 luglio 2026</w:t>
      </w:r>
      <w:r w:rsidRPr="004F4639">
        <w:rPr>
          <w:rFonts w:ascii="Aptos" w:hAnsi="Aptos" w:cstheme="minorHAnsi"/>
          <w:sz w:val="24"/>
          <w:szCs w:val="24"/>
        </w:rPr>
        <w:t xml:space="preserve">, ha pronunciato una decisione di particolare rilievo per il settore agricolo e per tutti gli enti esponenziali delle proprietà collettive, riaffermando il valore costituzionale degli usi civici e della tutela paesaggistica ad essi connessa. </w:t>
      </w:r>
    </w:p>
    <w:p w14:paraId="0FA63A38" w14:textId="77777777" w:rsidR="005562D8" w:rsidRPr="004F4639" w:rsidRDefault="005562D8" w:rsidP="004F4639">
      <w:pPr>
        <w:spacing w:line="276" w:lineRule="auto"/>
        <w:jc w:val="both"/>
        <w:rPr>
          <w:rFonts w:ascii="Aptos" w:hAnsi="Aptos" w:cstheme="minorHAnsi"/>
          <w:sz w:val="24"/>
          <w:szCs w:val="24"/>
        </w:rPr>
      </w:pPr>
    </w:p>
    <w:p w14:paraId="59B5248F" w14:textId="77777777" w:rsidR="005562D8"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La pronuncia interviene sul delicato equilibrio tra le esigenze di sviluppo delle infrastrutture di telecomunicazione e la salvaguardia del patrimonio ambientale e rurale, ribadendo un principio destinato ad incidere in modo significativo sulla futura realizzazione di impianti in aree gravate da uso civico. </w:t>
      </w:r>
    </w:p>
    <w:p w14:paraId="1CC1DE3B" w14:textId="77777777" w:rsidR="004F4639" w:rsidRPr="004F4639" w:rsidRDefault="004F4639" w:rsidP="004F4639">
      <w:pPr>
        <w:spacing w:line="276" w:lineRule="auto"/>
        <w:jc w:val="both"/>
        <w:rPr>
          <w:rFonts w:ascii="Aptos" w:hAnsi="Aptos" w:cstheme="minorHAnsi"/>
          <w:sz w:val="24"/>
          <w:szCs w:val="24"/>
        </w:rPr>
      </w:pPr>
    </w:p>
    <w:p w14:paraId="0D7E4B05" w14:textId="77141D4E" w:rsidR="005562D8" w:rsidRPr="004F4639"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Il giudizio trae origine da una controversia concernente l’installazione di infrastrutture di comunicazione elettronica su terreni di proprietà collettiva nel Comune di Valmontone, vicenda che ha offerto alla Consulta l’occasione per scrutinare la legittimità costituzionale </w:t>
      </w:r>
      <w:r w:rsidRPr="004F4639">
        <w:rPr>
          <w:rFonts w:ascii="Aptos" w:hAnsi="Aptos" w:cstheme="minorHAnsi"/>
          <w:i/>
          <w:iCs/>
          <w:sz w:val="24"/>
          <w:szCs w:val="24"/>
        </w:rPr>
        <w:t>dell’articolo 54-bis del decreto legislativo n. 259 del 2003</w:t>
      </w:r>
      <w:r w:rsidRPr="004F4639">
        <w:rPr>
          <w:rFonts w:ascii="Aptos" w:hAnsi="Aptos" w:cstheme="minorHAnsi"/>
          <w:sz w:val="24"/>
          <w:szCs w:val="24"/>
        </w:rPr>
        <w:t>, introdotto nel 2023 nell’ambito delle misure di semplificazione previste per l’attuazione del Piano Nazionale di Ripresa e Resilienza e finalizzate ad accelerare la diffusione delle reti di telecomunicazione ad alta velocità.</w:t>
      </w:r>
    </w:p>
    <w:p w14:paraId="46FF280F" w14:textId="77777777" w:rsidR="00CE3457" w:rsidRPr="004F4639" w:rsidRDefault="00CE3457" w:rsidP="004F4639">
      <w:pPr>
        <w:spacing w:line="276" w:lineRule="auto"/>
        <w:jc w:val="both"/>
        <w:rPr>
          <w:rFonts w:ascii="Aptos" w:hAnsi="Aptos" w:cstheme="minorHAnsi"/>
          <w:sz w:val="24"/>
          <w:szCs w:val="24"/>
        </w:rPr>
      </w:pPr>
    </w:p>
    <w:p w14:paraId="173656A2" w14:textId="062B5240" w:rsidR="005562D8" w:rsidRPr="004F4639"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La disposizione oggetto di censura prevedeva due importanti deroghe al regime ordinario dei terreni gravati da usi civici. Da un lato escludeva la necessità dell’autorizzazione al mutamento di destinazione d’uso disciplinata dall’articolo 12 della legge n. 1766 del 1927; dall’altro stabiliva che, per la realizzazione e il potenziamento delle infrastrutture di telecomunicazione, non trovasse applicazione il vincolo paesaggistico previsto dall’articolo 142, comma 1, lettera h), del Codice dei beni culturali e del paesaggio. </w:t>
      </w:r>
    </w:p>
    <w:p w14:paraId="77DCA863" w14:textId="77777777" w:rsidR="005562D8" w:rsidRPr="004F4639" w:rsidRDefault="005562D8" w:rsidP="004F4639">
      <w:pPr>
        <w:spacing w:line="276" w:lineRule="auto"/>
        <w:jc w:val="both"/>
        <w:rPr>
          <w:rFonts w:ascii="Aptos" w:hAnsi="Aptos" w:cstheme="minorHAnsi"/>
          <w:sz w:val="24"/>
          <w:szCs w:val="24"/>
        </w:rPr>
      </w:pPr>
    </w:p>
    <w:p w14:paraId="7F7EBF91" w14:textId="77777777" w:rsidR="004F4639" w:rsidRDefault="004F4639" w:rsidP="004F4639">
      <w:pPr>
        <w:spacing w:line="276" w:lineRule="auto"/>
        <w:jc w:val="both"/>
        <w:rPr>
          <w:rFonts w:ascii="Aptos" w:hAnsi="Aptos" w:cstheme="minorHAnsi"/>
          <w:sz w:val="24"/>
          <w:szCs w:val="24"/>
        </w:rPr>
      </w:pPr>
    </w:p>
    <w:p w14:paraId="4BE69E62" w14:textId="77777777" w:rsidR="004F4639" w:rsidRDefault="004F4639" w:rsidP="004F4639">
      <w:pPr>
        <w:spacing w:line="276" w:lineRule="auto"/>
        <w:jc w:val="both"/>
        <w:rPr>
          <w:rFonts w:ascii="Aptos" w:hAnsi="Aptos" w:cstheme="minorHAnsi"/>
          <w:sz w:val="24"/>
          <w:szCs w:val="24"/>
        </w:rPr>
      </w:pPr>
    </w:p>
    <w:p w14:paraId="7A83A244" w14:textId="77777777" w:rsidR="004F4639" w:rsidRDefault="004F4639" w:rsidP="004F4639">
      <w:pPr>
        <w:spacing w:line="276" w:lineRule="auto"/>
        <w:jc w:val="both"/>
        <w:rPr>
          <w:rFonts w:ascii="Aptos" w:hAnsi="Aptos" w:cstheme="minorHAnsi"/>
          <w:sz w:val="24"/>
          <w:szCs w:val="24"/>
        </w:rPr>
      </w:pPr>
    </w:p>
    <w:p w14:paraId="4110BAE9" w14:textId="65C610E9" w:rsidR="005562D8"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La Corte ha distinto nettamente i due profili, ritenendo conforme alla Costituzione il primo e costituzionalmente illegittimo il secondo.</w:t>
      </w:r>
    </w:p>
    <w:p w14:paraId="477A303B" w14:textId="77777777" w:rsidR="004F4639" w:rsidRPr="004F4639" w:rsidRDefault="004F4639" w:rsidP="004F4639">
      <w:pPr>
        <w:spacing w:line="276" w:lineRule="auto"/>
        <w:jc w:val="both"/>
        <w:rPr>
          <w:rFonts w:ascii="Aptos" w:hAnsi="Aptos" w:cstheme="minorHAnsi"/>
          <w:sz w:val="24"/>
          <w:szCs w:val="24"/>
        </w:rPr>
      </w:pPr>
    </w:p>
    <w:p w14:paraId="39DF4A0C" w14:textId="77777777" w:rsidR="005562D8" w:rsidRPr="004F4639"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Secondo la Consulta, </w:t>
      </w:r>
      <w:r w:rsidRPr="004F4639">
        <w:rPr>
          <w:rFonts w:ascii="Aptos" w:hAnsi="Aptos" w:cstheme="minorHAnsi"/>
          <w:sz w:val="24"/>
          <w:szCs w:val="24"/>
          <w:u w:val="single"/>
        </w:rPr>
        <w:t>l’esclusione dell’autorizzazione al mutamento di destinazione d’uso non comporta, di per sé, la perdita della natura collettiva del bene, né determina la sua sottrazione al regime pubblicistico che caratterizza i domini collettivi</w:t>
      </w:r>
      <w:r w:rsidRPr="004F4639">
        <w:rPr>
          <w:rFonts w:ascii="Aptos" w:hAnsi="Aptos" w:cstheme="minorHAnsi"/>
          <w:sz w:val="24"/>
          <w:szCs w:val="24"/>
        </w:rPr>
        <w:t>. Il mutamento di destinazione può infatti costituire uno strumento di gestione del patrimonio collettivo purché il bene continui a perseguire finalità di interesse generale e rimanga destinato al soddisfacimento delle esigenze della collettività titolare. Sotto questo profilo, il legislatore può introdurre forme di semplificazione amministrativa senza compromettere la natura giuridica dei beni gravati da uso civico.</w:t>
      </w:r>
    </w:p>
    <w:p w14:paraId="09F09473" w14:textId="77777777" w:rsidR="005562D8" w:rsidRPr="004F4639" w:rsidRDefault="005562D8" w:rsidP="004F4639">
      <w:pPr>
        <w:spacing w:line="276" w:lineRule="auto"/>
        <w:jc w:val="both"/>
        <w:rPr>
          <w:rFonts w:ascii="Aptos" w:hAnsi="Aptos" w:cstheme="minorHAnsi"/>
          <w:sz w:val="24"/>
          <w:szCs w:val="24"/>
        </w:rPr>
      </w:pPr>
    </w:p>
    <w:p w14:paraId="46287A30" w14:textId="26BF0A08" w:rsidR="005562D8"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Di segno opposto è invece il giudizio espresso sulla previsione che </w:t>
      </w:r>
      <w:r w:rsidRPr="004F4639">
        <w:rPr>
          <w:rFonts w:ascii="Aptos" w:hAnsi="Aptos" w:cstheme="minorHAnsi"/>
          <w:i/>
          <w:iCs/>
          <w:sz w:val="24"/>
          <w:szCs w:val="24"/>
        </w:rPr>
        <w:t>escludeva automaticamente l’applicazione del vincolo paesaggistico</w:t>
      </w:r>
      <w:r w:rsidRPr="004F4639">
        <w:rPr>
          <w:rFonts w:ascii="Aptos" w:hAnsi="Aptos" w:cstheme="minorHAnsi"/>
          <w:sz w:val="24"/>
          <w:szCs w:val="24"/>
        </w:rPr>
        <w:t>. La Corte ricorda come gli usi civici abbiano ormai assunto una funzione che va ben oltre la tradizionale destinazione agro-</w:t>
      </w:r>
      <w:proofErr w:type="spellStart"/>
      <w:r w:rsidRPr="004F4639">
        <w:rPr>
          <w:rFonts w:ascii="Aptos" w:hAnsi="Aptos" w:cstheme="minorHAnsi"/>
          <w:sz w:val="24"/>
          <w:szCs w:val="24"/>
        </w:rPr>
        <w:t>silvo</w:t>
      </w:r>
      <w:proofErr w:type="spellEnd"/>
      <w:r w:rsidRPr="004F4639">
        <w:rPr>
          <w:rFonts w:ascii="Aptos" w:hAnsi="Aptos" w:cstheme="minorHAnsi"/>
          <w:sz w:val="24"/>
          <w:szCs w:val="24"/>
        </w:rPr>
        <w:t>-pastorale, rappresentando uno dei principali strumenti di conservazione del territorio, del paesaggio, della biodiversità e degli ecosistemi. Non a caso il legislatore, già con la legge Galasso del 1985 e successivamente con il Codice dei beni culturali e del paesaggio, ha riconosciuto alle aree gravate da usi civici la natura di beni paesaggistici tutelati per legge. Tale tutela trova oggi un fondamento ancora più solido nell’articolo 9 della Costituzione, che attribuisce rango costituzionale alla protezione dell’ambiente, della biodiversità e degli ecosistemi anche nell’interesse delle future generazioni.</w:t>
      </w:r>
    </w:p>
    <w:p w14:paraId="4F1FA648" w14:textId="77777777" w:rsidR="004F4639" w:rsidRPr="004F4639" w:rsidRDefault="004F4639" w:rsidP="004F4639">
      <w:pPr>
        <w:spacing w:line="276" w:lineRule="auto"/>
        <w:jc w:val="both"/>
        <w:rPr>
          <w:rFonts w:ascii="Aptos" w:hAnsi="Aptos" w:cstheme="minorHAnsi"/>
          <w:sz w:val="24"/>
          <w:szCs w:val="24"/>
          <w:u w:val="single"/>
        </w:rPr>
      </w:pPr>
    </w:p>
    <w:p w14:paraId="1D0046DC" w14:textId="77777777" w:rsidR="005562D8"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Muovendo da tali presupposti, </w:t>
      </w:r>
      <w:r w:rsidRPr="004F4639">
        <w:rPr>
          <w:rFonts w:ascii="Aptos" w:hAnsi="Aptos" w:cstheme="minorHAnsi"/>
          <w:sz w:val="24"/>
          <w:szCs w:val="24"/>
          <w:u w:val="single"/>
        </w:rPr>
        <w:t>la Consulta ha ritenuto che la disposizione censurata realizzasse un sacrificio indiscriminato della tutela paesaggistica, attribuendo in via generale e astratta una prevalenza assoluta all’interesse pubblico connesso alla diffusione delle reti di telecomunicazione</w:t>
      </w:r>
      <w:r w:rsidRPr="004F4639">
        <w:rPr>
          <w:rFonts w:ascii="Aptos" w:hAnsi="Aptos" w:cstheme="minorHAnsi"/>
          <w:sz w:val="24"/>
          <w:szCs w:val="24"/>
        </w:rPr>
        <w:t>. Un simile automatismo è stato ritenuto incompatibile con i principi costituzionali, poiché elimina ogni effettiva possibilità di valutare, nel caso concreto, la compatibilità dell’intervento con le caratteristiche ambientali e paesaggistiche del territorio interessato.</w:t>
      </w:r>
    </w:p>
    <w:p w14:paraId="4D45AB17" w14:textId="77777777" w:rsidR="004F4639" w:rsidRPr="004F4639" w:rsidRDefault="004F4639" w:rsidP="004F4639">
      <w:pPr>
        <w:spacing w:line="276" w:lineRule="auto"/>
        <w:jc w:val="both"/>
        <w:rPr>
          <w:rFonts w:ascii="Aptos" w:hAnsi="Aptos" w:cstheme="minorHAnsi"/>
          <w:sz w:val="24"/>
          <w:szCs w:val="24"/>
        </w:rPr>
      </w:pPr>
    </w:p>
    <w:p w14:paraId="19E45663" w14:textId="0630E650" w:rsidR="005562D8" w:rsidRPr="004F4639"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 xml:space="preserve"> La Corte sottolinea come le esigenze di semplificazione amministrativa e di accelerazione delle opere strategiche possano certamente giustificare procedure più snelle, ma non possano tradursi nell’eliminazione delle garanzie predisposte a tutela del paesaggio. In uno dei passaggi più significativi della motivazione afferma infatti che </w:t>
      </w:r>
      <w:r w:rsidRPr="004F4639">
        <w:rPr>
          <w:rFonts w:ascii="Aptos" w:hAnsi="Aptos" w:cstheme="minorHAnsi"/>
          <w:b/>
          <w:bCs/>
          <w:i/>
          <w:iCs/>
          <w:sz w:val="24"/>
          <w:szCs w:val="24"/>
        </w:rPr>
        <w:t>“semplificare non può condurre alla negazione in radice di ogni garanzia di tutela ambientale”</w:t>
      </w:r>
      <w:r w:rsidRPr="004F4639">
        <w:rPr>
          <w:rFonts w:ascii="Aptos" w:hAnsi="Aptos" w:cstheme="minorHAnsi"/>
          <w:i/>
          <w:iCs/>
          <w:sz w:val="24"/>
          <w:szCs w:val="24"/>
        </w:rPr>
        <w:t>,</w:t>
      </w:r>
      <w:r w:rsidRPr="004F4639">
        <w:rPr>
          <w:rFonts w:ascii="Aptos" w:hAnsi="Aptos" w:cstheme="minorHAnsi"/>
          <w:sz w:val="24"/>
          <w:szCs w:val="24"/>
        </w:rPr>
        <w:t xml:space="preserve"> riaffermando che il corretto bilanciamento tra interessi pubblici contrapposti deve essere compiuto nell’ambito del procedimento amministrativo attraverso una valutazione concreta e proporzionata del singolo intervento.</w:t>
      </w:r>
    </w:p>
    <w:p w14:paraId="74AF7316" w14:textId="77777777" w:rsidR="005562D8" w:rsidRDefault="005562D8" w:rsidP="004F4639">
      <w:pPr>
        <w:spacing w:line="276" w:lineRule="auto"/>
        <w:jc w:val="both"/>
        <w:rPr>
          <w:rFonts w:ascii="Aptos" w:hAnsi="Aptos" w:cstheme="minorHAnsi"/>
          <w:sz w:val="24"/>
          <w:szCs w:val="24"/>
        </w:rPr>
      </w:pPr>
    </w:p>
    <w:p w14:paraId="0E1CED9A" w14:textId="77777777" w:rsidR="004F4639" w:rsidRDefault="004F4639" w:rsidP="004F4639">
      <w:pPr>
        <w:spacing w:line="276" w:lineRule="auto"/>
        <w:jc w:val="both"/>
        <w:rPr>
          <w:rFonts w:ascii="Aptos" w:hAnsi="Aptos" w:cstheme="minorHAnsi"/>
          <w:sz w:val="24"/>
          <w:szCs w:val="24"/>
        </w:rPr>
      </w:pPr>
    </w:p>
    <w:p w14:paraId="0B85E7B1" w14:textId="77777777" w:rsidR="004F4639" w:rsidRDefault="004F4639" w:rsidP="004F4639">
      <w:pPr>
        <w:spacing w:line="276" w:lineRule="auto"/>
        <w:jc w:val="both"/>
        <w:rPr>
          <w:rFonts w:ascii="Aptos" w:hAnsi="Aptos" w:cstheme="minorHAnsi"/>
          <w:sz w:val="24"/>
          <w:szCs w:val="24"/>
        </w:rPr>
      </w:pPr>
    </w:p>
    <w:p w14:paraId="639EFFBE" w14:textId="77777777" w:rsidR="004F4639" w:rsidRPr="004F4639" w:rsidRDefault="004F4639" w:rsidP="004F4639">
      <w:pPr>
        <w:spacing w:line="276" w:lineRule="auto"/>
        <w:jc w:val="both"/>
        <w:rPr>
          <w:rFonts w:ascii="Aptos" w:hAnsi="Aptos" w:cstheme="minorHAnsi"/>
          <w:sz w:val="24"/>
          <w:szCs w:val="24"/>
        </w:rPr>
      </w:pPr>
    </w:p>
    <w:p w14:paraId="67D2CA5C" w14:textId="2EAB1773" w:rsidR="005562D8" w:rsidRPr="004F4639" w:rsidRDefault="005562D8" w:rsidP="004F4639">
      <w:pPr>
        <w:spacing w:line="276" w:lineRule="auto"/>
        <w:jc w:val="both"/>
        <w:rPr>
          <w:rFonts w:ascii="Aptos" w:hAnsi="Aptos" w:cstheme="minorHAnsi"/>
          <w:sz w:val="24"/>
          <w:szCs w:val="24"/>
        </w:rPr>
      </w:pPr>
      <w:r w:rsidRPr="004F4639">
        <w:rPr>
          <w:rFonts w:ascii="Aptos" w:hAnsi="Aptos" w:cstheme="minorHAnsi"/>
          <w:sz w:val="24"/>
          <w:szCs w:val="24"/>
        </w:rPr>
        <w:t>La pronuncia produce effetti immediati. A seguito della declaratoria di illegittimità costituzionale, gli interventi di installazione o potenziamento delle infrastrutture di telecomunicazione localizzati su terreni gravati da usi civici tornano integralmente assoggettati al vincolo paesaggistico previsto dall’articolo 142 del Codice dei beni culturali e del paesaggio. Le amministrazioni competenti dovranno pertanto procedere alla verifica della compatibilità paesaggistica di ciascun intervento, non essendo più consentita l’applicazione della deroga introdotta nel 2023.</w:t>
      </w:r>
    </w:p>
    <w:p w14:paraId="22F157FF" w14:textId="77777777" w:rsidR="005562D8" w:rsidRPr="004F4639" w:rsidRDefault="005562D8" w:rsidP="004F4639">
      <w:pPr>
        <w:spacing w:line="276" w:lineRule="auto"/>
        <w:jc w:val="both"/>
        <w:rPr>
          <w:rFonts w:ascii="Aptos" w:hAnsi="Aptos" w:cstheme="minorHAnsi"/>
          <w:sz w:val="24"/>
          <w:szCs w:val="24"/>
        </w:rPr>
      </w:pPr>
    </w:p>
    <w:p w14:paraId="09A1EF1E" w14:textId="022F705F" w:rsidR="00CE3457" w:rsidRDefault="00CE3457" w:rsidP="004F4639">
      <w:pPr>
        <w:spacing w:line="276" w:lineRule="auto"/>
        <w:jc w:val="both"/>
        <w:rPr>
          <w:rFonts w:ascii="Aptos" w:hAnsi="Aptos" w:cstheme="minorHAnsi"/>
          <w:sz w:val="24"/>
          <w:szCs w:val="24"/>
        </w:rPr>
      </w:pPr>
      <w:r w:rsidRPr="004F4639">
        <w:rPr>
          <w:rFonts w:ascii="Aptos" w:hAnsi="Aptos" w:cstheme="minorHAnsi"/>
          <w:sz w:val="24"/>
          <w:szCs w:val="24"/>
        </w:rPr>
        <w:t>In altre parole, la pronuncia della Corte costituzionale rappresenta un importante richiamo al principio secondo cui la semplificazione amministrativa non può tradursi nell’eliminazione delle garanzie poste a tutela del territorio. Pur riconoscendo la rilevanza strategica delle infrastrutture di telecomunicazione, la Corte riafferma che la tutela degli usi civici e del paesaggio costituisce un valore costituzionale che deve essere salvaguardato attraverso un concreto bilanciamento degli interessi coinvolti. </w:t>
      </w:r>
    </w:p>
    <w:p w14:paraId="24260B9C" w14:textId="77777777" w:rsidR="004F4639" w:rsidRDefault="004F4639" w:rsidP="004F4639">
      <w:pPr>
        <w:spacing w:line="276" w:lineRule="auto"/>
        <w:jc w:val="both"/>
        <w:rPr>
          <w:rFonts w:ascii="Aptos" w:hAnsi="Aptos" w:cstheme="minorHAnsi"/>
          <w:sz w:val="24"/>
          <w:szCs w:val="24"/>
        </w:rPr>
      </w:pPr>
    </w:p>
    <w:p w14:paraId="03E91384" w14:textId="482EAE73" w:rsidR="004F4639" w:rsidRDefault="004F4639" w:rsidP="004F4639">
      <w:pPr>
        <w:spacing w:line="276" w:lineRule="auto"/>
        <w:jc w:val="both"/>
        <w:rPr>
          <w:rFonts w:ascii="Aptos" w:hAnsi="Aptos" w:cstheme="minorHAnsi"/>
          <w:sz w:val="24"/>
          <w:szCs w:val="24"/>
        </w:rPr>
      </w:pPr>
      <w:r>
        <w:rPr>
          <w:rFonts w:ascii="Aptos" w:hAnsi="Aptos" w:cstheme="minorHAnsi"/>
          <w:sz w:val="24"/>
          <w:szCs w:val="24"/>
        </w:rPr>
        <w:t>Cordiali saluti.</w:t>
      </w:r>
    </w:p>
    <w:p w14:paraId="5FA07157" w14:textId="77777777" w:rsidR="004F4639" w:rsidRDefault="004F4639" w:rsidP="004F4639">
      <w:pPr>
        <w:spacing w:line="276" w:lineRule="auto"/>
        <w:jc w:val="both"/>
        <w:rPr>
          <w:rFonts w:ascii="Aptos" w:hAnsi="Aptos" w:cstheme="minorHAnsi"/>
          <w:sz w:val="24"/>
          <w:szCs w:val="24"/>
        </w:rPr>
      </w:pPr>
    </w:p>
    <w:p w14:paraId="2294777A" w14:textId="77777777" w:rsidR="004F4639" w:rsidRDefault="004F4639" w:rsidP="004F4639">
      <w:pPr>
        <w:spacing w:line="276" w:lineRule="auto"/>
        <w:jc w:val="both"/>
        <w:rPr>
          <w:rFonts w:ascii="Aptos" w:hAnsi="Aptos" w:cstheme="minorHAnsi"/>
          <w:sz w:val="24"/>
          <w:szCs w:val="24"/>
        </w:rPr>
      </w:pPr>
    </w:p>
    <w:p w14:paraId="1BE40D39" w14:textId="77777777" w:rsidR="004F4639" w:rsidRDefault="004F4639" w:rsidP="004F4639">
      <w:pPr>
        <w:spacing w:line="276" w:lineRule="auto"/>
        <w:jc w:val="both"/>
        <w:rPr>
          <w:rFonts w:ascii="Aptos" w:hAnsi="Aptos" w:cstheme="minorHAnsi"/>
          <w:sz w:val="24"/>
          <w:szCs w:val="24"/>
        </w:rPr>
      </w:pPr>
    </w:p>
    <w:p w14:paraId="0F1F7DD4" w14:textId="77777777" w:rsidR="004F4639" w:rsidRDefault="004F4639" w:rsidP="004F4639">
      <w:pPr>
        <w:spacing w:line="276" w:lineRule="auto"/>
        <w:jc w:val="both"/>
        <w:rPr>
          <w:rFonts w:ascii="Aptos" w:hAnsi="Aptos" w:cstheme="minorHAnsi"/>
          <w:sz w:val="24"/>
          <w:szCs w:val="24"/>
        </w:rPr>
      </w:pPr>
    </w:p>
    <w:p w14:paraId="7849D43A" w14:textId="13ED6C8E" w:rsidR="00CE3457" w:rsidRPr="004F4639" w:rsidRDefault="00A21AD0" w:rsidP="00A21AD0">
      <w:pPr>
        <w:spacing w:line="276" w:lineRule="auto"/>
        <w:ind w:left="4320" w:firstLine="720"/>
        <w:jc w:val="both"/>
        <w:rPr>
          <w:rFonts w:ascii="Aptos" w:hAnsi="Aptos" w:cstheme="minorHAnsi"/>
          <w:sz w:val="24"/>
          <w:szCs w:val="24"/>
        </w:rPr>
      </w:pPr>
      <w:r w:rsidRPr="006F03AE">
        <w:rPr>
          <w:noProof/>
        </w:rPr>
        <w:drawing>
          <wp:inline distT="0" distB="0" distL="0" distR="0" wp14:anchorId="166A4C6B" wp14:editId="07026DA1">
            <wp:extent cx="2484120" cy="1318260"/>
            <wp:effectExtent l="0" t="0" r="0" b="0"/>
            <wp:docPr id="148473915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39155" name="Immagine 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4120" cy="1318260"/>
                    </a:xfrm>
                    <a:prstGeom prst="rect">
                      <a:avLst/>
                    </a:prstGeom>
                    <a:noFill/>
                    <a:ln>
                      <a:noFill/>
                    </a:ln>
                  </pic:spPr>
                </pic:pic>
              </a:graphicData>
            </a:graphic>
          </wp:inline>
        </w:drawing>
      </w:r>
    </w:p>
    <w:sectPr w:rsidR="00CE3457" w:rsidRPr="004F4639">
      <w:headerReference w:type="default" r:id="rId13"/>
      <w:footerReference w:type="default" r:id="rId14"/>
      <w:pgSz w:w="11910" w:h="16840"/>
      <w:pgMar w:top="1260" w:right="1020" w:bottom="1200" w:left="880" w:header="569"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E21C" w14:textId="77777777" w:rsidR="008D721E" w:rsidRDefault="008D721E">
      <w:r>
        <w:separator/>
      </w:r>
    </w:p>
  </w:endnote>
  <w:endnote w:type="continuationSeparator" w:id="0">
    <w:p w14:paraId="11433C26" w14:textId="77777777" w:rsidR="008D721E" w:rsidRDefault="008D7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37C5" w14:textId="332FA4A7" w:rsidR="00835A58" w:rsidRDefault="00103476">
    <w:pPr>
      <w:pStyle w:val="Corpotesto"/>
      <w:spacing w:line="14" w:lineRule="auto"/>
      <w:rPr>
        <w:sz w:val="20"/>
      </w:rPr>
    </w:pPr>
    <w:r>
      <w:rPr>
        <w:noProof/>
        <w:lang w:eastAsia="it-IT"/>
      </w:rPr>
      <mc:AlternateContent>
        <mc:Choice Requires="wps">
          <w:drawing>
            <wp:anchor distT="0" distB="0" distL="114300" distR="114300" simplePos="0" relativeHeight="251658240" behindDoc="1" locked="0" layoutInCell="1" allowOverlap="1" wp14:anchorId="4575475C" wp14:editId="5A84C969">
              <wp:simplePos x="0" y="0"/>
              <wp:positionH relativeFrom="page">
                <wp:posOffset>6732905</wp:posOffset>
              </wp:positionH>
              <wp:positionV relativeFrom="page">
                <wp:posOffset>9914890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5475C" id="_x0000_t202" coordsize="21600,21600" o:spt="202" path="m,l,21600r21600,l21600,xe">
              <v:stroke joinstyle="miter"/>
              <v:path gradientshapeok="t" o:connecttype="rect"/>
            </v:shapetype>
            <v:shape id="Text Box 1" o:spid="_x0000_s1027" type="#_x0000_t202" style="position:absolute;margin-left:530.15pt;margin-top:780.7pt;width:11.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" filled="f" stroked="f">
              <v:textbox inset="0,0,0,0">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41031" w14:textId="77777777" w:rsidR="008D721E" w:rsidRDefault="008D721E">
      <w:r>
        <w:separator/>
      </w:r>
    </w:p>
  </w:footnote>
  <w:footnote w:type="continuationSeparator" w:id="0">
    <w:p w14:paraId="2F6E6C27" w14:textId="77777777" w:rsidR="008D721E" w:rsidRDefault="008D7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80A2" w14:textId="77777777" w:rsidR="00835A58" w:rsidRDefault="00197FA0">
    <w:pPr>
      <w:pStyle w:val="Corpotesto"/>
      <w:spacing w:line="14" w:lineRule="auto"/>
      <w:rPr>
        <w:sz w:val="20"/>
      </w:rPr>
    </w:pPr>
    <w:r>
      <w:rPr>
        <w:noProof/>
        <w:lang w:eastAsia="it-IT"/>
      </w:rPr>
      <w:drawing>
        <wp:anchor distT="0" distB="0" distL="0" distR="0" simplePos="0" relativeHeight="251657216" behindDoc="1" locked="0" layoutInCell="1" allowOverlap="1" wp14:anchorId="57249AF9" wp14:editId="325A18C7">
          <wp:simplePos x="0" y="0"/>
          <wp:positionH relativeFrom="page">
            <wp:posOffset>4800600</wp:posOffset>
          </wp:positionH>
          <wp:positionV relativeFrom="page">
            <wp:posOffset>361188</wp:posOffset>
          </wp:positionV>
          <wp:extent cx="2040635" cy="446532"/>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2040635" cy="4465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4B5F"/>
    <w:multiLevelType w:val="multilevel"/>
    <w:tmpl w:val="80B4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F1492"/>
    <w:multiLevelType w:val="hybridMultilevel"/>
    <w:tmpl w:val="73C6E858"/>
    <w:lvl w:ilvl="0" w:tplc="1910F324">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035DC6"/>
    <w:multiLevelType w:val="multilevel"/>
    <w:tmpl w:val="597A2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E185E2B"/>
    <w:multiLevelType w:val="hybridMultilevel"/>
    <w:tmpl w:val="AF863DFC"/>
    <w:lvl w:ilvl="0" w:tplc="5C4AE31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C75213"/>
    <w:multiLevelType w:val="hybridMultilevel"/>
    <w:tmpl w:val="84EA982A"/>
    <w:lvl w:ilvl="0" w:tplc="1C589EF4">
      <w:numFmt w:val="bullet"/>
      <w:lvlText w:val="-"/>
      <w:lvlJc w:val="left"/>
      <w:pPr>
        <w:ind w:left="720" w:hanging="360"/>
      </w:pPr>
      <w:rPr>
        <w:rFonts w:ascii="Aptos" w:eastAsia="Calibr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C8A5817"/>
    <w:multiLevelType w:val="hybridMultilevel"/>
    <w:tmpl w:val="6A1E8D6E"/>
    <w:lvl w:ilvl="0" w:tplc="9EB87D0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8136411">
    <w:abstractNumId w:val="5"/>
  </w:num>
  <w:num w:numId="2" w16cid:durableId="1597637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79256">
    <w:abstractNumId w:val="1"/>
  </w:num>
  <w:num w:numId="4" w16cid:durableId="244459529">
    <w:abstractNumId w:val="4"/>
  </w:num>
  <w:num w:numId="5" w16cid:durableId="563568216">
    <w:abstractNumId w:val="3"/>
  </w:num>
  <w:num w:numId="6" w16cid:durableId="311914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A58"/>
    <w:rsid w:val="000223F8"/>
    <w:rsid w:val="00033857"/>
    <w:rsid w:val="00037867"/>
    <w:rsid w:val="00052119"/>
    <w:rsid w:val="00053CEF"/>
    <w:rsid w:val="0006053E"/>
    <w:rsid w:val="000739E0"/>
    <w:rsid w:val="00087C08"/>
    <w:rsid w:val="000B6E2A"/>
    <w:rsid w:val="000C240C"/>
    <w:rsid w:val="000D1587"/>
    <w:rsid w:val="000E3B2A"/>
    <w:rsid w:val="000E62B9"/>
    <w:rsid w:val="000F44CF"/>
    <w:rsid w:val="00103476"/>
    <w:rsid w:val="00111A63"/>
    <w:rsid w:val="001370B2"/>
    <w:rsid w:val="00137A09"/>
    <w:rsid w:val="001510AE"/>
    <w:rsid w:val="00153BB8"/>
    <w:rsid w:val="001559DB"/>
    <w:rsid w:val="00175F2F"/>
    <w:rsid w:val="00197546"/>
    <w:rsid w:val="00197FA0"/>
    <w:rsid w:val="001A053B"/>
    <w:rsid w:val="001A681B"/>
    <w:rsid w:val="001C0B6C"/>
    <w:rsid w:val="001C2813"/>
    <w:rsid w:val="001C7CCC"/>
    <w:rsid w:val="001D2526"/>
    <w:rsid w:val="001E0FD4"/>
    <w:rsid w:val="001E5A1B"/>
    <w:rsid w:val="00247C2D"/>
    <w:rsid w:val="002547C1"/>
    <w:rsid w:val="00265959"/>
    <w:rsid w:val="00273E8C"/>
    <w:rsid w:val="002740D2"/>
    <w:rsid w:val="00282020"/>
    <w:rsid w:val="002950C1"/>
    <w:rsid w:val="002A12A7"/>
    <w:rsid w:val="002B26D4"/>
    <w:rsid w:val="002B3686"/>
    <w:rsid w:val="002B62BD"/>
    <w:rsid w:val="002E1D94"/>
    <w:rsid w:val="002F499E"/>
    <w:rsid w:val="00316A19"/>
    <w:rsid w:val="00364DFB"/>
    <w:rsid w:val="00392BF7"/>
    <w:rsid w:val="00393FA6"/>
    <w:rsid w:val="003A3EC6"/>
    <w:rsid w:val="003C7D75"/>
    <w:rsid w:val="003E118A"/>
    <w:rsid w:val="003F1258"/>
    <w:rsid w:val="003F32B1"/>
    <w:rsid w:val="003F34C8"/>
    <w:rsid w:val="00401D91"/>
    <w:rsid w:val="00405387"/>
    <w:rsid w:val="00406135"/>
    <w:rsid w:val="004245ED"/>
    <w:rsid w:val="00445233"/>
    <w:rsid w:val="00456017"/>
    <w:rsid w:val="00460C0C"/>
    <w:rsid w:val="0046485A"/>
    <w:rsid w:val="00470B5A"/>
    <w:rsid w:val="004801D1"/>
    <w:rsid w:val="00484965"/>
    <w:rsid w:val="00485B9B"/>
    <w:rsid w:val="004B12E7"/>
    <w:rsid w:val="004C3F77"/>
    <w:rsid w:val="004C5BA0"/>
    <w:rsid w:val="004D2B3E"/>
    <w:rsid w:val="004E0621"/>
    <w:rsid w:val="004F4639"/>
    <w:rsid w:val="004F4C3E"/>
    <w:rsid w:val="004F5F9C"/>
    <w:rsid w:val="005316A8"/>
    <w:rsid w:val="00531A07"/>
    <w:rsid w:val="005324C2"/>
    <w:rsid w:val="0054705C"/>
    <w:rsid w:val="005560E5"/>
    <w:rsid w:val="005562D8"/>
    <w:rsid w:val="0055723D"/>
    <w:rsid w:val="00557769"/>
    <w:rsid w:val="005750B6"/>
    <w:rsid w:val="00580B53"/>
    <w:rsid w:val="00583987"/>
    <w:rsid w:val="0059326D"/>
    <w:rsid w:val="00594958"/>
    <w:rsid w:val="00596F8F"/>
    <w:rsid w:val="005C1B1C"/>
    <w:rsid w:val="005C3C23"/>
    <w:rsid w:val="005C5434"/>
    <w:rsid w:val="005F36A9"/>
    <w:rsid w:val="005F7B7A"/>
    <w:rsid w:val="006119F8"/>
    <w:rsid w:val="0061636B"/>
    <w:rsid w:val="006406FE"/>
    <w:rsid w:val="006409DE"/>
    <w:rsid w:val="006450BB"/>
    <w:rsid w:val="00652E93"/>
    <w:rsid w:val="006650AB"/>
    <w:rsid w:val="006678D0"/>
    <w:rsid w:val="00667B93"/>
    <w:rsid w:val="00682196"/>
    <w:rsid w:val="00686669"/>
    <w:rsid w:val="00686DDE"/>
    <w:rsid w:val="006A02BF"/>
    <w:rsid w:val="006A6005"/>
    <w:rsid w:val="006B7AF0"/>
    <w:rsid w:val="006D2CE2"/>
    <w:rsid w:val="006E205F"/>
    <w:rsid w:val="006F76F9"/>
    <w:rsid w:val="00707510"/>
    <w:rsid w:val="007252AB"/>
    <w:rsid w:val="007466E2"/>
    <w:rsid w:val="00764EC4"/>
    <w:rsid w:val="007B3F5F"/>
    <w:rsid w:val="007B50F3"/>
    <w:rsid w:val="007F0DD0"/>
    <w:rsid w:val="007F348A"/>
    <w:rsid w:val="0080425D"/>
    <w:rsid w:val="00806792"/>
    <w:rsid w:val="008072CC"/>
    <w:rsid w:val="00814983"/>
    <w:rsid w:val="00824621"/>
    <w:rsid w:val="00835A58"/>
    <w:rsid w:val="008370E0"/>
    <w:rsid w:val="00837890"/>
    <w:rsid w:val="00837D35"/>
    <w:rsid w:val="00840E0B"/>
    <w:rsid w:val="0087565B"/>
    <w:rsid w:val="008A2982"/>
    <w:rsid w:val="008A5261"/>
    <w:rsid w:val="008B6F13"/>
    <w:rsid w:val="008D721E"/>
    <w:rsid w:val="008E423B"/>
    <w:rsid w:val="00913CB8"/>
    <w:rsid w:val="00913D9E"/>
    <w:rsid w:val="00925674"/>
    <w:rsid w:val="00926CE4"/>
    <w:rsid w:val="0093576A"/>
    <w:rsid w:val="00952D52"/>
    <w:rsid w:val="00962F83"/>
    <w:rsid w:val="00967EDB"/>
    <w:rsid w:val="00973B04"/>
    <w:rsid w:val="009874E4"/>
    <w:rsid w:val="00987D86"/>
    <w:rsid w:val="009A2E66"/>
    <w:rsid w:val="009A2F81"/>
    <w:rsid w:val="009A4C9A"/>
    <w:rsid w:val="009A6AB4"/>
    <w:rsid w:val="009B6ACD"/>
    <w:rsid w:val="009C2793"/>
    <w:rsid w:val="009C30B2"/>
    <w:rsid w:val="009C65EC"/>
    <w:rsid w:val="009D2874"/>
    <w:rsid w:val="009D581B"/>
    <w:rsid w:val="00A12EC3"/>
    <w:rsid w:val="00A21AD0"/>
    <w:rsid w:val="00A3429D"/>
    <w:rsid w:val="00A43937"/>
    <w:rsid w:val="00A603B4"/>
    <w:rsid w:val="00A61FAE"/>
    <w:rsid w:val="00A65BDB"/>
    <w:rsid w:val="00A67955"/>
    <w:rsid w:val="00AA38A8"/>
    <w:rsid w:val="00AB1D9A"/>
    <w:rsid w:val="00AB25FF"/>
    <w:rsid w:val="00AB7CAD"/>
    <w:rsid w:val="00AC72FB"/>
    <w:rsid w:val="00AD09B2"/>
    <w:rsid w:val="00AD18AD"/>
    <w:rsid w:val="00B2770E"/>
    <w:rsid w:val="00B40066"/>
    <w:rsid w:val="00B55A05"/>
    <w:rsid w:val="00B560F5"/>
    <w:rsid w:val="00B5735E"/>
    <w:rsid w:val="00B6207E"/>
    <w:rsid w:val="00B62C4A"/>
    <w:rsid w:val="00B94887"/>
    <w:rsid w:val="00BA15FA"/>
    <w:rsid w:val="00BB4BC2"/>
    <w:rsid w:val="00BB69DB"/>
    <w:rsid w:val="00BB6BAA"/>
    <w:rsid w:val="00BD40AB"/>
    <w:rsid w:val="00BE0146"/>
    <w:rsid w:val="00BF2E7F"/>
    <w:rsid w:val="00BF4681"/>
    <w:rsid w:val="00C02730"/>
    <w:rsid w:val="00C8021E"/>
    <w:rsid w:val="00C80F69"/>
    <w:rsid w:val="00C81146"/>
    <w:rsid w:val="00C8507F"/>
    <w:rsid w:val="00CD6824"/>
    <w:rsid w:val="00CE028C"/>
    <w:rsid w:val="00CE33CA"/>
    <w:rsid w:val="00CE3457"/>
    <w:rsid w:val="00CF30DD"/>
    <w:rsid w:val="00D0612D"/>
    <w:rsid w:val="00D148D6"/>
    <w:rsid w:val="00D2187D"/>
    <w:rsid w:val="00D32D32"/>
    <w:rsid w:val="00D45779"/>
    <w:rsid w:val="00D74569"/>
    <w:rsid w:val="00D855E6"/>
    <w:rsid w:val="00DC6055"/>
    <w:rsid w:val="00DD262B"/>
    <w:rsid w:val="00DF3EF1"/>
    <w:rsid w:val="00DF4311"/>
    <w:rsid w:val="00E0593A"/>
    <w:rsid w:val="00E0648A"/>
    <w:rsid w:val="00E13BFE"/>
    <w:rsid w:val="00E33BE4"/>
    <w:rsid w:val="00E42051"/>
    <w:rsid w:val="00E42B62"/>
    <w:rsid w:val="00E56D27"/>
    <w:rsid w:val="00E5708A"/>
    <w:rsid w:val="00E65D63"/>
    <w:rsid w:val="00E735EF"/>
    <w:rsid w:val="00E800C0"/>
    <w:rsid w:val="00E907CA"/>
    <w:rsid w:val="00EA3B10"/>
    <w:rsid w:val="00EB09FD"/>
    <w:rsid w:val="00EB0B74"/>
    <w:rsid w:val="00ED45FC"/>
    <w:rsid w:val="00ED57C0"/>
    <w:rsid w:val="00F11C90"/>
    <w:rsid w:val="00F13658"/>
    <w:rsid w:val="00F15DA7"/>
    <w:rsid w:val="00F24C87"/>
    <w:rsid w:val="00F32C49"/>
    <w:rsid w:val="00F47C4C"/>
    <w:rsid w:val="00F54A9D"/>
    <w:rsid w:val="00F81F33"/>
    <w:rsid w:val="00F93CB4"/>
    <w:rsid w:val="00FA6BE6"/>
    <w:rsid w:val="00FC70E5"/>
    <w:rsid w:val="00FD69FB"/>
    <w:rsid w:val="00FD7E2A"/>
    <w:rsid w:val="00FE0C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70A0"/>
  <w15:docId w15:val="{F1BD30B3-1A30-46E9-A7AE-F82BD681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47C1"/>
    <w:rPr>
      <w:rFonts w:ascii="Calibri" w:eastAsia="Calibri" w:hAnsi="Calibri" w:cs="Calibri"/>
      <w:lang w:val="it-IT"/>
    </w:rPr>
  </w:style>
  <w:style w:type="paragraph" w:styleId="Titolo1">
    <w:name w:val="heading 1"/>
    <w:basedOn w:val="Normale"/>
    <w:link w:val="Titolo1Carattere"/>
    <w:uiPriority w:val="9"/>
    <w:qFormat/>
    <w:pPr>
      <w:ind w:left="11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3A3EC6"/>
    <w:pPr>
      <w:widowControl/>
      <w:autoSpaceDE/>
      <w:autoSpaceDN/>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3A3EC6"/>
    <w:rPr>
      <w:sz w:val="20"/>
      <w:szCs w:val="20"/>
      <w:lang w:val="it-IT"/>
    </w:rPr>
  </w:style>
  <w:style w:type="character" w:styleId="Rimandonotaapidipagina">
    <w:name w:val="footnote reference"/>
    <w:basedOn w:val="Carpredefinitoparagrafo"/>
    <w:uiPriority w:val="99"/>
    <w:semiHidden/>
    <w:unhideWhenUsed/>
    <w:rsid w:val="003A3EC6"/>
    <w:rPr>
      <w:vertAlign w:val="superscript"/>
    </w:rPr>
  </w:style>
  <w:style w:type="character" w:customStyle="1" w:styleId="Titolo1Carattere">
    <w:name w:val="Titolo 1 Carattere"/>
    <w:basedOn w:val="Carpredefinitoparagrafo"/>
    <w:link w:val="Titolo1"/>
    <w:uiPriority w:val="9"/>
    <w:rsid w:val="00A603B4"/>
    <w:rPr>
      <w:rFonts w:ascii="Calibri" w:eastAsia="Calibri" w:hAnsi="Calibri" w:cs="Calibri"/>
      <w:b/>
      <w:bCs/>
      <w:lang w:val="it-IT"/>
    </w:rPr>
  </w:style>
  <w:style w:type="character" w:styleId="Collegamentoipertestuale">
    <w:name w:val="Hyperlink"/>
    <w:basedOn w:val="Carpredefinitoparagrafo"/>
    <w:uiPriority w:val="99"/>
    <w:unhideWhenUsed/>
    <w:rsid w:val="00E5708A"/>
    <w:rPr>
      <w:color w:val="0000FF" w:themeColor="hyperlink"/>
      <w:u w:val="single"/>
    </w:rPr>
  </w:style>
  <w:style w:type="character" w:styleId="Menzionenonrisolta">
    <w:name w:val="Unresolved Mention"/>
    <w:basedOn w:val="Carpredefinitoparagrafo"/>
    <w:uiPriority w:val="99"/>
    <w:semiHidden/>
    <w:unhideWhenUsed/>
    <w:rsid w:val="00E5708A"/>
    <w:rPr>
      <w:color w:val="605E5C"/>
      <w:shd w:val="clear" w:color="auto" w:fill="E1DFDD"/>
    </w:rPr>
  </w:style>
  <w:style w:type="character" w:styleId="Collegamentovisitato">
    <w:name w:val="FollowedHyperlink"/>
    <w:basedOn w:val="Carpredefinitoparagrafo"/>
    <w:uiPriority w:val="99"/>
    <w:semiHidden/>
    <w:unhideWhenUsed/>
    <w:rsid w:val="00967EDB"/>
    <w:rPr>
      <w:color w:val="800080" w:themeColor="followedHyperlink"/>
      <w:u w:val="single"/>
    </w:rPr>
  </w:style>
  <w:style w:type="paragraph" w:styleId="Intestazione">
    <w:name w:val="header"/>
    <w:basedOn w:val="Normale"/>
    <w:link w:val="IntestazioneCarattere"/>
    <w:uiPriority w:val="99"/>
    <w:unhideWhenUsed/>
    <w:rsid w:val="00456017"/>
    <w:pPr>
      <w:tabs>
        <w:tab w:val="center" w:pos="4819"/>
        <w:tab w:val="right" w:pos="9638"/>
      </w:tabs>
    </w:pPr>
  </w:style>
  <w:style w:type="character" w:customStyle="1" w:styleId="IntestazioneCarattere">
    <w:name w:val="Intestazione Carattere"/>
    <w:basedOn w:val="Carpredefinitoparagrafo"/>
    <w:link w:val="Intestazione"/>
    <w:uiPriority w:val="99"/>
    <w:rsid w:val="00456017"/>
    <w:rPr>
      <w:rFonts w:ascii="Calibri" w:eastAsia="Calibri" w:hAnsi="Calibri" w:cs="Calibri"/>
      <w:lang w:val="it-IT"/>
    </w:rPr>
  </w:style>
  <w:style w:type="paragraph" w:styleId="Pidipagina">
    <w:name w:val="footer"/>
    <w:basedOn w:val="Normale"/>
    <w:link w:val="PidipaginaCarattere"/>
    <w:uiPriority w:val="99"/>
    <w:unhideWhenUsed/>
    <w:rsid w:val="00456017"/>
    <w:pPr>
      <w:tabs>
        <w:tab w:val="center" w:pos="4819"/>
        <w:tab w:val="right" w:pos="9638"/>
      </w:tabs>
    </w:pPr>
  </w:style>
  <w:style w:type="character" w:customStyle="1" w:styleId="PidipaginaCarattere">
    <w:name w:val="Piè di pagina Carattere"/>
    <w:basedOn w:val="Carpredefinitoparagrafo"/>
    <w:link w:val="Pidipagina"/>
    <w:uiPriority w:val="99"/>
    <w:rsid w:val="00456017"/>
    <w:rPr>
      <w:rFonts w:ascii="Calibri" w:eastAsia="Calibri" w:hAnsi="Calibri" w:cs="Calibri"/>
      <w:lang w:val="it-IT"/>
    </w:rPr>
  </w:style>
  <w:style w:type="paragraph" w:styleId="NormaleWeb">
    <w:name w:val="Normal (Web)"/>
    <w:basedOn w:val="Normale"/>
    <w:uiPriority w:val="99"/>
    <w:semiHidden/>
    <w:unhideWhenUsed/>
    <w:rsid w:val="001C0B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0518">
      <w:bodyDiv w:val="1"/>
      <w:marLeft w:val="0"/>
      <w:marRight w:val="0"/>
      <w:marTop w:val="0"/>
      <w:marBottom w:val="0"/>
      <w:divBdr>
        <w:top w:val="none" w:sz="0" w:space="0" w:color="auto"/>
        <w:left w:val="none" w:sz="0" w:space="0" w:color="auto"/>
        <w:bottom w:val="none" w:sz="0" w:space="0" w:color="auto"/>
        <w:right w:val="none" w:sz="0" w:space="0" w:color="auto"/>
      </w:divBdr>
    </w:div>
    <w:div w:id="140080876">
      <w:bodyDiv w:val="1"/>
      <w:marLeft w:val="0"/>
      <w:marRight w:val="0"/>
      <w:marTop w:val="0"/>
      <w:marBottom w:val="0"/>
      <w:divBdr>
        <w:top w:val="none" w:sz="0" w:space="0" w:color="auto"/>
        <w:left w:val="none" w:sz="0" w:space="0" w:color="auto"/>
        <w:bottom w:val="none" w:sz="0" w:space="0" w:color="auto"/>
        <w:right w:val="none" w:sz="0" w:space="0" w:color="auto"/>
      </w:divBdr>
    </w:div>
    <w:div w:id="193622414">
      <w:bodyDiv w:val="1"/>
      <w:marLeft w:val="0"/>
      <w:marRight w:val="0"/>
      <w:marTop w:val="0"/>
      <w:marBottom w:val="0"/>
      <w:divBdr>
        <w:top w:val="none" w:sz="0" w:space="0" w:color="auto"/>
        <w:left w:val="none" w:sz="0" w:space="0" w:color="auto"/>
        <w:bottom w:val="none" w:sz="0" w:space="0" w:color="auto"/>
        <w:right w:val="none" w:sz="0" w:space="0" w:color="auto"/>
      </w:divBdr>
    </w:div>
    <w:div w:id="459106669">
      <w:bodyDiv w:val="1"/>
      <w:marLeft w:val="0"/>
      <w:marRight w:val="0"/>
      <w:marTop w:val="0"/>
      <w:marBottom w:val="0"/>
      <w:divBdr>
        <w:top w:val="none" w:sz="0" w:space="0" w:color="auto"/>
        <w:left w:val="none" w:sz="0" w:space="0" w:color="auto"/>
        <w:bottom w:val="none" w:sz="0" w:space="0" w:color="auto"/>
        <w:right w:val="none" w:sz="0" w:space="0" w:color="auto"/>
      </w:divBdr>
    </w:div>
    <w:div w:id="626476319">
      <w:bodyDiv w:val="1"/>
      <w:marLeft w:val="0"/>
      <w:marRight w:val="0"/>
      <w:marTop w:val="0"/>
      <w:marBottom w:val="0"/>
      <w:divBdr>
        <w:top w:val="none" w:sz="0" w:space="0" w:color="auto"/>
        <w:left w:val="none" w:sz="0" w:space="0" w:color="auto"/>
        <w:bottom w:val="none" w:sz="0" w:space="0" w:color="auto"/>
        <w:right w:val="none" w:sz="0" w:space="0" w:color="auto"/>
      </w:divBdr>
    </w:div>
    <w:div w:id="736783949">
      <w:bodyDiv w:val="1"/>
      <w:marLeft w:val="0"/>
      <w:marRight w:val="0"/>
      <w:marTop w:val="0"/>
      <w:marBottom w:val="0"/>
      <w:divBdr>
        <w:top w:val="none" w:sz="0" w:space="0" w:color="auto"/>
        <w:left w:val="none" w:sz="0" w:space="0" w:color="auto"/>
        <w:bottom w:val="none" w:sz="0" w:space="0" w:color="auto"/>
        <w:right w:val="none" w:sz="0" w:space="0" w:color="auto"/>
      </w:divBdr>
    </w:div>
    <w:div w:id="793643972">
      <w:bodyDiv w:val="1"/>
      <w:marLeft w:val="0"/>
      <w:marRight w:val="0"/>
      <w:marTop w:val="0"/>
      <w:marBottom w:val="0"/>
      <w:divBdr>
        <w:top w:val="none" w:sz="0" w:space="0" w:color="auto"/>
        <w:left w:val="none" w:sz="0" w:space="0" w:color="auto"/>
        <w:bottom w:val="none" w:sz="0" w:space="0" w:color="auto"/>
        <w:right w:val="none" w:sz="0" w:space="0" w:color="auto"/>
      </w:divBdr>
    </w:div>
    <w:div w:id="797838888">
      <w:bodyDiv w:val="1"/>
      <w:marLeft w:val="0"/>
      <w:marRight w:val="0"/>
      <w:marTop w:val="0"/>
      <w:marBottom w:val="0"/>
      <w:divBdr>
        <w:top w:val="none" w:sz="0" w:space="0" w:color="auto"/>
        <w:left w:val="none" w:sz="0" w:space="0" w:color="auto"/>
        <w:bottom w:val="none" w:sz="0" w:space="0" w:color="auto"/>
        <w:right w:val="none" w:sz="0" w:space="0" w:color="auto"/>
      </w:divBdr>
    </w:div>
    <w:div w:id="1284075959">
      <w:bodyDiv w:val="1"/>
      <w:marLeft w:val="0"/>
      <w:marRight w:val="0"/>
      <w:marTop w:val="0"/>
      <w:marBottom w:val="0"/>
      <w:divBdr>
        <w:top w:val="none" w:sz="0" w:space="0" w:color="auto"/>
        <w:left w:val="none" w:sz="0" w:space="0" w:color="auto"/>
        <w:bottom w:val="none" w:sz="0" w:space="0" w:color="auto"/>
        <w:right w:val="none" w:sz="0" w:space="0" w:color="auto"/>
      </w:divBdr>
    </w:div>
    <w:div w:id="1353611861">
      <w:bodyDiv w:val="1"/>
      <w:marLeft w:val="0"/>
      <w:marRight w:val="0"/>
      <w:marTop w:val="0"/>
      <w:marBottom w:val="0"/>
      <w:divBdr>
        <w:top w:val="none" w:sz="0" w:space="0" w:color="auto"/>
        <w:left w:val="none" w:sz="0" w:space="0" w:color="auto"/>
        <w:bottom w:val="none" w:sz="0" w:space="0" w:color="auto"/>
        <w:right w:val="none" w:sz="0" w:space="0" w:color="auto"/>
      </w:divBdr>
    </w:div>
    <w:div w:id="1400832865">
      <w:bodyDiv w:val="1"/>
      <w:marLeft w:val="0"/>
      <w:marRight w:val="0"/>
      <w:marTop w:val="0"/>
      <w:marBottom w:val="0"/>
      <w:divBdr>
        <w:top w:val="none" w:sz="0" w:space="0" w:color="auto"/>
        <w:left w:val="none" w:sz="0" w:space="0" w:color="auto"/>
        <w:bottom w:val="none" w:sz="0" w:space="0" w:color="auto"/>
        <w:right w:val="none" w:sz="0" w:space="0" w:color="auto"/>
      </w:divBdr>
    </w:div>
    <w:div w:id="1466893578">
      <w:bodyDiv w:val="1"/>
      <w:marLeft w:val="0"/>
      <w:marRight w:val="0"/>
      <w:marTop w:val="0"/>
      <w:marBottom w:val="0"/>
      <w:divBdr>
        <w:top w:val="none" w:sz="0" w:space="0" w:color="auto"/>
        <w:left w:val="none" w:sz="0" w:space="0" w:color="auto"/>
        <w:bottom w:val="none" w:sz="0" w:space="0" w:color="auto"/>
        <w:right w:val="none" w:sz="0" w:space="0" w:color="auto"/>
      </w:divBdr>
    </w:div>
    <w:div w:id="1823765705">
      <w:bodyDiv w:val="1"/>
      <w:marLeft w:val="0"/>
      <w:marRight w:val="0"/>
      <w:marTop w:val="0"/>
      <w:marBottom w:val="0"/>
      <w:divBdr>
        <w:top w:val="none" w:sz="0" w:space="0" w:color="auto"/>
        <w:left w:val="none" w:sz="0" w:space="0" w:color="auto"/>
        <w:bottom w:val="none" w:sz="0" w:space="0" w:color="auto"/>
        <w:right w:val="none" w:sz="0" w:space="0" w:color="auto"/>
      </w:divBdr>
    </w:div>
    <w:div w:id="1867132379">
      <w:bodyDiv w:val="1"/>
      <w:marLeft w:val="0"/>
      <w:marRight w:val="0"/>
      <w:marTop w:val="0"/>
      <w:marBottom w:val="0"/>
      <w:divBdr>
        <w:top w:val="none" w:sz="0" w:space="0" w:color="auto"/>
        <w:left w:val="none" w:sz="0" w:space="0" w:color="auto"/>
        <w:bottom w:val="none" w:sz="0" w:space="0" w:color="auto"/>
        <w:right w:val="none" w:sz="0" w:space="0" w:color="auto"/>
      </w:divBdr>
    </w:div>
    <w:div w:id="1905413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fagricoltur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egale@confagricoltura.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1EF6F-3124-4816-AB8A-A40286020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6493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Microsoft Word - Circolare  n.  16541 del 21 gennaio 2022 .docx</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Circolare  n.  16541 del 21 gennaio 2022 .docx</dc:title>
  <dc:subject/>
  <dc:creator>ROMEO</dc:creator>
  <cp:keywords/>
  <dc:description/>
  <cp:lastModifiedBy>Affari Legali</cp:lastModifiedBy>
  <cp:revision>4</cp:revision>
  <cp:lastPrinted>2026-07-13T09:10:00Z</cp:lastPrinted>
  <dcterms:created xsi:type="dcterms:W3CDTF">2026-07-09T08:33:00Z</dcterms:created>
  <dcterms:modified xsi:type="dcterms:W3CDTF">2026-07-14T09:24:00Z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2022-01-21T00:00:00Z</vt:filetime>
  </property>
  <property fmtid="{D5CDD505-2E9C-101B-9397-08002B2CF9AE}" pid="3" name="LastSaved">
    <vt:filetime>2022-01-27T00:00:00Z</vt:filetime>
  </property>
</Properties>
</file>