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F324E" w14:textId="77777777" w:rsidR="00835A58" w:rsidRPr="003A3EC6" w:rsidRDefault="00197FA0">
      <w:pPr>
        <w:pStyle w:val="Corpotesto"/>
        <w:ind w:left="2439"/>
        <w:rPr>
          <w:rFonts w:asciiTheme="minorHAnsi" w:hAnsiTheme="minorHAnsi" w:cstheme="minorHAnsi"/>
          <w:sz w:val="20"/>
        </w:rPr>
      </w:pPr>
      <w:r w:rsidRPr="003A3EC6">
        <w:rPr>
          <w:rFonts w:asciiTheme="minorHAnsi" w:hAnsiTheme="minorHAnsi" w:cstheme="minorHAnsi"/>
          <w:noProof/>
          <w:sz w:val="20"/>
          <w:lang w:eastAsia="it-IT"/>
        </w:rPr>
        <w:drawing>
          <wp:inline distT="0" distB="0" distL="0" distR="0" wp14:anchorId="531618D6" wp14:editId="11C3AC0D">
            <wp:extent cx="3257229" cy="70723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57229" cy="707231"/>
                    </a:xfrm>
                    <a:prstGeom prst="rect">
                      <a:avLst/>
                    </a:prstGeom>
                  </pic:spPr>
                </pic:pic>
              </a:graphicData>
            </a:graphic>
          </wp:inline>
        </w:drawing>
      </w:r>
    </w:p>
    <w:p w14:paraId="5A157D91" w14:textId="77777777" w:rsidR="00835A58" w:rsidRPr="00D2187D" w:rsidRDefault="00835A58">
      <w:pPr>
        <w:pStyle w:val="Corpotesto"/>
        <w:rPr>
          <w:rFonts w:asciiTheme="minorHAnsi" w:hAnsiTheme="minorHAnsi" w:cstheme="minorHAnsi"/>
        </w:rPr>
      </w:pPr>
    </w:p>
    <w:p w14:paraId="057F0815" w14:textId="68B40885" w:rsidR="00835A58" w:rsidRPr="00D2187D" w:rsidRDefault="00D2187D">
      <w:pPr>
        <w:pStyle w:val="Corpotesto"/>
        <w:rPr>
          <w:rFonts w:asciiTheme="minorHAnsi" w:hAnsiTheme="minorHAnsi" w:cstheme="minorHAnsi"/>
        </w:rPr>
      </w:pPr>
      <w:r w:rsidRPr="00D2187D">
        <w:rPr>
          <w:rFonts w:asciiTheme="minorHAnsi" w:hAnsiTheme="minorHAnsi" w:cstheme="minorHAnsi"/>
          <w:noProof/>
          <w:lang w:eastAsia="it-IT"/>
        </w:rPr>
        <mc:AlternateContent>
          <mc:Choice Requires="wps">
            <w:drawing>
              <wp:anchor distT="0" distB="0" distL="0" distR="0" simplePos="0" relativeHeight="487588352" behindDoc="1" locked="0" layoutInCell="1" allowOverlap="1" wp14:anchorId="4B4A3C6C" wp14:editId="36374B4F">
                <wp:simplePos x="0" y="0"/>
                <wp:positionH relativeFrom="page">
                  <wp:posOffset>3981450</wp:posOffset>
                </wp:positionH>
                <wp:positionV relativeFrom="paragraph">
                  <wp:posOffset>433705</wp:posOffset>
                </wp:positionV>
                <wp:extent cx="2886075" cy="971550"/>
                <wp:effectExtent l="0" t="0" r="28575" b="19050"/>
                <wp:wrapTopAndBottom/>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971550"/>
                        </a:xfrm>
                        <a:prstGeom prst="rect">
                          <a:avLst/>
                        </a:prstGeom>
                        <a:noFill/>
                        <a:ln w="12192">
                          <a:solidFill>
                            <a:srgbClr val="B3CC82"/>
                          </a:solidFill>
                          <a:miter lim="800000"/>
                          <a:headEnd/>
                          <a:tailEnd/>
                        </a:ln>
                        <a:extLst>
                          <a:ext uri="{909E8E84-426E-40DD-AFC4-6F175D3DCCD1}">
                            <a14:hiddenFill xmlns:a14="http://schemas.microsoft.com/office/drawing/2010/main">
                              <a:solidFill>
                                <a:srgbClr val="FFFFFF"/>
                              </a:solidFill>
                            </a14:hiddenFill>
                          </a:ext>
                        </a:extLst>
                      </wps:spPr>
                      <wps:txbx>
                        <w:txbxContent>
                          <w:p w14:paraId="23C2179E" w14:textId="77777777" w:rsidR="00EF3604" w:rsidRDefault="00EF3604" w:rsidP="00EF3604">
                            <w:pPr>
                              <w:spacing w:before="56"/>
                              <w:ind w:left="567" w:right="109" w:hanging="567"/>
                              <w:jc w:val="both"/>
                              <w:rPr>
                                <w:rFonts w:asciiTheme="minorHAnsi" w:hAnsiTheme="minorHAnsi" w:cstheme="minorHAnsi"/>
                                <w:b/>
                                <w:i/>
                                <w:color w:val="007736"/>
                              </w:rPr>
                            </w:pPr>
                            <w:r>
                              <w:rPr>
                                <w:b/>
                              </w:rPr>
                              <w:t>AREA</w:t>
                            </w:r>
                            <w:r>
                              <w:rPr>
                                <w:b/>
                                <w:spacing w:val="-1"/>
                              </w:rPr>
                              <w:t xml:space="preserve"> </w:t>
                            </w:r>
                            <w:bookmarkStart w:id="0" w:name="_Hlk188865736"/>
                            <w:r>
                              <w:rPr>
                                <w:rFonts w:asciiTheme="minorHAnsi" w:hAnsiTheme="minorHAnsi" w:cstheme="minorHAnsi"/>
                                <w:b/>
                                <w:i/>
                                <w:color w:val="007736"/>
                              </w:rPr>
                              <w:t>Direzione politiche del lavoro, welfare e sicurezza sul lavoro – Ufficio Affari Legali</w:t>
                            </w:r>
                          </w:p>
                          <w:p w14:paraId="6810D5A6" w14:textId="77777777" w:rsidR="00EF3604" w:rsidRDefault="00EF3604" w:rsidP="00EF3604">
                            <w:pPr>
                              <w:spacing w:before="56"/>
                              <w:ind w:left="567" w:right="109" w:hanging="567"/>
                              <w:jc w:val="both"/>
                              <w:rPr>
                                <w:rFonts w:asciiTheme="minorHAnsi" w:hAnsiTheme="minorHAnsi" w:cstheme="minorHAnsi"/>
                                <w:b/>
                                <w:i/>
                                <w:color w:val="007736"/>
                              </w:rPr>
                            </w:pPr>
                          </w:p>
                          <w:bookmarkEnd w:id="0"/>
                          <w:p w14:paraId="68E13C8F" w14:textId="4D0F3C65" w:rsidR="00EF3604" w:rsidRDefault="00EF3604" w:rsidP="00EF3604">
                            <w:pPr>
                              <w:rPr>
                                <w:b/>
                              </w:rPr>
                            </w:pPr>
                            <w:r>
                              <w:rPr>
                                <w:b/>
                              </w:rPr>
                              <w:t xml:space="preserve">  CIRCOLARE</w:t>
                            </w:r>
                            <w:r>
                              <w:rPr>
                                <w:b/>
                                <w:spacing w:val="-3"/>
                              </w:rPr>
                              <w:t xml:space="preserve"> </w:t>
                            </w:r>
                            <w:r>
                              <w:rPr>
                                <w:b/>
                              </w:rPr>
                              <w:t>N</w:t>
                            </w:r>
                            <w:r w:rsidRPr="00F70A51">
                              <w:rPr>
                                <w:b/>
                              </w:rPr>
                              <w:t>.</w:t>
                            </w:r>
                            <w:r>
                              <w:rPr>
                                <w:b/>
                              </w:rPr>
                              <w:t xml:space="preserve"> </w:t>
                            </w:r>
                            <w:r w:rsidR="00426652">
                              <w:rPr>
                                <w:b/>
                              </w:rPr>
                              <w:t>17663</w:t>
                            </w:r>
                          </w:p>
                          <w:p w14:paraId="15407268" w14:textId="02056360" w:rsidR="00835A58" w:rsidRDefault="00835A58" w:rsidP="00406135">
                            <w:pP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A3C6C" id="_x0000_t202" coordsize="21600,21600" o:spt="202" path="m,l,21600r21600,l21600,xe">
                <v:stroke joinstyle="miter"/>
                <v:path gradientshapeok="t" o:connecttype="rect"/>
              </v:shapetype>
              <v:shape id="Text Box 6" o:spid="_x0000_s1026" type="#_x0000_t202" style="position:absolute;margin-left:313.5pt;margin-top:34.15pt;width:227.25pt;height:76.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" filled="f" strokecolor="#b3cc82" strokeweight=".96pt">
                <v:textbox inset="0,0,0,0">
                  <w:txbxContent>
                    <w:p w14:paraId="23C2179E" w14:textId="77777777" w:rsidR="00EF3604" w:rsidRDefault="00EF3604" w:rsidP="00EF3604">
                      <w:pPr>
                        <w:spacing w:before="56"/>
                        <w:ind w:left="567" w:right="109" w:hanging="567"/>
                        <w:jc w:val="both"/>
                        <w:rPr>
                          <w:rFonts w:asciiTheme="minorHAnsi" w:hAnsiTheme="minorHAnsi" w:cstheme="minorHAnsi"/>
                          <w:b/>
                          <w:i/>
                          <w:color w:val="007736"/>
                        </w:rPr>
                      </w:pPr>
                      <w:r>
                        <w:rPr>
                          <w:b/>
                        </w:rPr>
                        <w:t>AREA</w:t>
                      </w:r>
                      <w:r>
                        <w:rPr>
                          <w:b/>
                          <w:spacing w:val="-1"/>
                        </w:rPr>
                        <w:t xml:space="preserve"> </w:t>
                      </w:r>
                      <w:bookmarkStart w:id="1" w:name="_Hlk188865736"/>
                      <w:r>
                        <w:rPr>
                          <w:rFonts w:asciiTheme="minorHAnsi" w:hAnsiTheme="minorHAnsi" w:cstheme="minorHAnsi"/>
                          <w:b/>
                          <w:i/>
                          <w:color w:val="007736"/>
                        </w:rPr>
                        <w:t>Direzione politiche del lavoro, welfare e sicurezza sul lavoro – Ufficio Affari Legali</w:t>
                      </w:r>
                    </w:p>
                    <w:p w14:paraId="6810D5A6" w14:textId="77777777" w:rsidR="00EF3604" w:rsidRDefault="00EF3604" w:rsidP="00EF3604">
                      <w:pPr>
                        <w:spacing w:before="56"/>
                        <w:ind w:left="567" w:right="109" w:hanging="567"/>
                        <w:jc w:val="both"/>
                        <w:rPr>
                          <w:rFonts w:asciiTheme="minorHAnsi" w:hAnsiTheme="minorHAnsi" w:cstheme="minorHAnsi"/>
                          <w:b/>
                          <w:i/>
                          <w:color w:val="007736"/>
                        </w:rPr>
                      </w:pPr>
                    </w:p>
                    <w:bookmarkEnd w:id="1"/>
                    <w:p w14:paraId="68E13C8F" w14:textId="4D0F3C65" w:rsidR="00EF3604" w:rsidRDefault="00EF3604" w:rsidP="00EF3604">
                      <w:pPr>
                        <w:rPr>
                          <w:b/>
                        </w:rPr>
                      </w:pPr>
                      <w:r>
                        <w:rPr>
                          <w:b/>
                        </w:rPr>
                        <w:t xml:space="preserve">  CIRCOLARE</w:t>
                      </w:r>
                      <w:r>
                        <w:rPr>
                          <w:b/>
                          <w:spacing w:val="-3"/>
                        </w:rPr>
                        <w:t xml:space="preserve"> </w:t>
                      </w:r>
                      <w:r>
                        <w:rPr>
                          <w:b/>
                        </w:rPr>
                        <w:t>N</w:t>
                      </w:r>
                      <w:r w:rsidRPr="00F70A51">
                        <w:rPr>
                          <w:b/>
                        </w:rPr>
                        <w:t>.</w:t>
                      </w:r>
                      <w:r>
                        <w:rPr>
                          <w:b/>
                        </w:rPr>
                        <w:t xml:space="preserve"> </w:t>
                      </w:r>
                      <w:r w:rsidR="00426652">
                        <w:rPr>
                          <w:b/>
                        </w:rPr>
                        <w:t>17663</w:t>
                      </w:r>
                    </w:p>
                    <w:p w14:paraId="15407268" w14:textId="02056360" w:rsidR="00835A58" w:rsidRDefault="00835A58" w:rsidP="00406135">
                      <w:pPr>
                        <w:rPr>
                          <w:b/>
                        </w:rPr>
                      </w:pPr>
                    </w:p>
                  </w:txbxContent>
                </v:textbox>
                <w10:wrap type="topAndBottom" anchorx="page"/>
              </v:shape>
            </w:pict>
          </mc:Fallback>
        </mc:AlternateContent>
      </w:r>
    </w:p>
    <w:p w14:paraId="7565D063" w14:textId="694A7694" w:rsidR="00835A58" w:rsidRPr="00D2187D" w:rsidRDefault="00197FA0">
      <w:pPr>
        <w:pStyle w:val="Corpotesto"/>
        <w:spacing w:before="2"/>
        <w:rPr>
          <w:rFonts w:asciiTheme="minorHAnsi" w:hAnsiTheme="minorHAnsi" w:cstheme="minorHAnsi"/>
        </w:rPr>
      </w:pPr>
      <w:r w:rsidRPr="00D2187D">
        <w:rPr>
          <w:rFonts w:asciiTheme="minorHAnsi" w:hAnsiTheme="minorHAnsi" w:cstheme="minorHAnsi"/>
          <w:noProof/>
          <w:lang w:eastAsia="it-IT"/>
        </w:rPr>
        <w:drawing>
          <wp:anchor distT="0" distB="0" distL="0" distR="0" simplePos="0" relativeHeight="251658752" behindDoc="0" locked="0" layoutInCell="1" allowOverlap="1" wp14:anchorId="1AAC2E31" wp14:editId="06834A26">
            <wp:simplePos x="0" y="0"/>
            <wp:positionH relativeFrom="page">
              <wp:posOffset>3150107</wp:posOffset>
            </wp:positionH>
            <wp:positionV relativeFrom="paragraph">
              <wp:posOffset>150429</wp:posOffset>
            </wp:positionV>
            <wp:extent cx="786521" cy="81724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786521" cy="817245"/>
                    </a:xfrm>
                    <a:prstGeom prst="rect">
                      <a:avLst/>
                    </a:prstGeom>
                  </pic:spPr>
                </pic:pic>
              </a:graphicData>
            </a:graphic>
          </wp:anchor>
        </w:drawing>
      </w:r>
    </w:p>
    <w:p w14:paraId="19D0F93A" w14:textId="06974CD6" w:rsidR="000D1587" w:rsidRDefault="000D1587" w:rsidP="00D2187D">
      <w:pPr>
        <w:pStyle w:val="Titolo1"/>
        <w:spacing w:line="360" w:lineRule="auto"/>
        <w:ind w:left="0"/>
        <w:jc w:val="both"/>
        <w:rPr>
          <w:rFonts w:asciiTheme="minorHAnsi" w:hAnsiTheme="minorHAnsi" w:cstheme="minorHAnsi"/>
        </w:rPr>
      </w:pPr>
    </w:p>
    <w:p w14:paraId="4B9AC9C1" w14:textId="77777777" w:rsidR="00456017" w:rsidRPr="00D2187D" w:rsidRDefault="00456017" w:rsidP="00D2187D">
      <w:pPr>
        <w:pStyle w:val="Titolo1"/>
        <w:spacing w:line="360" w:lineRule="auto"/>
        <w:ind w:left="0"/>
        <w:jc w:val="both"/>
        <w:rPr>
          <w:rFonts w:asciiTheme="minorHAnsi" w:hAnsiTheme="minorHAnsi" w:cstheme="minorHAnsi"/>
        </w:rPr>
      </w:pPr>
    </w:p>
    <w:p w14:paraId="6EC10040" w14:textId="77777777" w:rsidR="000D1587" w:rsidRPr="00484965" w:rsidRDefault="000D1587" w:rsidP="00B6207E">
      <w:pPr>
        <w:pStyle w:val="Titolo1"/>
        <w:spacing w:line="276" w:lineRule="auto"/>
        <w:jc w:val="both"/>
        <w:rPr>
          <w:rFonts w:ascii="Aptos" w:hAnsi="Aptos" w:cstheme="minorHAnsi"/>
          <w:b w:val="0"/>
          <w:bCs w:val="0"/>
        </w:rPr>
      </w:pPr>
    </w:p>
    <w:p w14:paraId="31FEFF82" w14:textId="77777777" w:rsidR="00470B5A" w:rsidRPr="00535E21" w:rsidRDefault="00A65BDB" w:rsidP="001E0FD4">
      <w:pPr>
        <w:pStyle w:val="Titolo1"/>
        <w:spacing w:line="276" w:lineRule="auto"/>
        <w:ind w:left="0"/>
        <w:jc w:val="both"/>
        <w:rPr>
          <w:rFonts w:ascii="Aptos" w:hAnsi="Aptos" w:cstheme="minorHAnsi"/>
          <w:b w:val="0"/>
          <w:bCs w:val="0"/>
          <w:sz w:val="24"/>
          <w:szCs w:val="24"/>
        </w:rPr>
      </w:pPr>
      <w:r w:rsidRPr="00535E21">
        <w:rPr>
          <w:rFonts w:ascii="Aptos" w:hAnsi="Aptos" w:cstheme="minorHAnsi"/>
          <w:sz w:val="24"/>
          <w:szCs w:val="24"/>
        </w:rPr>
        <w:t>TITOLO</w:t>
      </w:r>
      <w:bookmarkStart w:id="1" w:name="_Hlk188869543"/>
      <w:r w:rsidR="00E33BE4" w:rsidRPr="00535E21">
        <w:rPr>
          <w:rFonts w:ascii="Aptos" w:hAnsi="Aptos" w:cstheme="minorHAnsi"/>
          <w:sz w:val="24"/>
          <w:szCs w:val="24"/>
        </w:rPr>
        <w:t>:</w:t>
      </w:r>
      <w:r w:rsidR="001C0B6C" w:rsidRPr="00535E21">
        <w:rPr>
          <w:rFonts w:ascii="Aptos" w:hAnsi="Aptos" w:cstheme="minorHAnsi"/>
          <w:b w:val="0"/>
          <w:bCs w:val="0"/>
          <w:sz w:val="24"/>
          <w:szCs w:val="24"/>
        </w:rPr>
        <w:t xml:space="preserve"> </w:t>
      </w:r>
      <w:bookmarkEnd w:id="1"/>
    </w:p>
    <w:p w14:paraId="2691418E" w14:textId="24823383" w:rsidR="00D855E6" w:rsidRPr="00535E21" w:rsidRDefault="00470B5A" w:rsidP="001E0FD4">
      <w:pPr>
        <w:pStyle w:val="Titolo1"/>
        <w:spacing w:line="276" w:lineRule="auto"/>
        <w:ind w:left="0"/>
        <w:jc w:val="both"/>
        <w:rPr>
          <w:rFonts w:ascii="Aptos" w:hAnsi="Aptos" w:cstheme="minorHAnsi"/>
          <w:b w:val="0"/>
          <w:bCs w:val="0"/>
          <w:i/>
          <w:iCs/>
          <w:sz w:val="24"/>
          <w:szCs w:val="24"/>
        </w:rPr>
      </w:pPr>
      <w:r w:rsidRPr="00535E21">
        <w:rPr>
          <w:rFonts w:ascii="Aptos" w:hAnsi="Aptos" w:cstheme="minorHAnsi"/>
          <w:b w:val="0"/>
          <w:bCs w:val="0"/>
          <w:i/>
          <w:iCs/>
          <w:sz w:val="24"/>
          <w:szCs w:val="24"/>
        </w:rPr>
        <w:t>Affitto agrario: natura del rapporto e assistenza sindacale</w:t>
      </w:r>
    </w:p>
    <w:p w14:paraId="00937D46" w14:textId="77777777" w:rsidR="001E0FD4" w:rsidRPr="00535E21" w:rsidRDefault="001E0FD4" w:rsidP="001E0FD4">
      <w:pPr>
        <w:pStyle w:val="Titolo1"/>
        <w:spacing w:line="276" w:lineRule="auto"/>
        <w:ind w:left="0"/>
        <w:jc w:val="both"/>
        <w:rPr>
          <w:rFonts w:ascii="Aptos" w:hAnsi="Aptos" w:cstheme="minorHAnsi"/>
          <w:sz w:val="24"/>
          <w:szCs w:val="24"/>
        </w:rPr>
      </w:pPr>
    </w:p>
    <w:p w14:paraId="5BC954BF" w14:textId="77777777" w:rsidR="00EF3604" w:rsidRPr="00535E21" w:rsidRDefault="00EF3604" w:rsidP="001E0FD4">
      <w:pPr>
        <w:pStyle w:val="Titolo1"/>
        <w:spacing w:line="276" w:lineRule="auto"/>
        <w:ind w:left="0"/>
        <w:jc w:val="both"/>
        <w:rPr>
          <w:rFonts w:ascii="Aptos" w:hAnsi="Aptos" w:cstheme="minorHAnsi"/>
          <w:sz w:val="24"/>
          <w:szCs w:val="24"/>
        </w:rPr>
      </w:pPr>
    </w:p>
    <w:p w14:paraId="01C60527" w14:textId="77777777" w:rsidR="00EF3604" w:rsidRPr="00535E21" w:rsidRDefault="00EF3604" w:rsidP="001E0FD4">
      <w:pPr>
        <w:pStyle w:val="Titolo1"/>
        <w:spacing w:line="276" w:lineRule="auto"/>
        <w:ind w:left="0"/>
        <w:jc w:val="both"/>
        <w:rPr>
          <w:rFonts w:ascii="Aptos" w:hAnsi="Aptos" w:cstheme="minorHAnsi"/>
          <w:sz w:val="24"/>
          <w:szCs w:val="24"/>
        </w:rPr>
      </w:pPr>
    </w:p>
    <w:p w14:paraId="433734C8" w14:textId="77777777" w:rsidR="002A12A7" w:rsidRPr="00535E21" w:rsidRDefault="00197FA0" w:rsidP="00B6207E">
      <w:pPr>
        <w:pStyle w:val="Titolo1"/>
        <w:spacing w:line="276" w:lineRule="auto"/>
        <w:ind w:left="0"/>
        <w:jc w:val="both"/>
        <w:rPr>
          <w:rFonts w:ascii="Aptos" w:hAnsi="Aptos" w:cstheme="minorHAnsi"/>
          <w:sz w:val="24"/>
          <w:szCs w:val="24"/>
        </w:rPr>
      </w:pPr>
      <w:r w:rsidRPr="00535E21">
        <w:rPr>
          <w:rFonts w:ascii="Aptos" w:hAnsi="Aptos" w:cstheme="minorHAnsi"/>
          <w:sz w:val="24"/>
          <w:szCs w:val="24"/>
        </w:rPr>
        <w:t>RIFERIMENTI</w:t>
      </w:r>
      <w:r w:rsidRPr="00535E21">
        <w:rPr>
          <w:rFonts w:ascii="Aptos" w:hAnsi="Aptos" w:cstheme="minorHAnsi"/>
          <w:spacing w:val="-3"/>
          <w:sz w:val="24"/>
          <w:szCs w:val="24"/>
        </w:rPr>
        <w:t xml:space="preserve"> </w:t>
      </w:r>
      <w:r w:rsidRPr="00535E21">
        <w:rPr>
          <w:rFonts w:ascii="Aptos" w:hAnsi="Aptos" w:cstheme="minorHAnsi"/>
          <w:sz w:val="24"/>
          <w:szCs w:val="24"/>
        </w:rPr>
        <w:t>NORMATIVI</w:t>
      </w:r>
      <w:r w:rsidR="00FD7E2A" w:rsidRPr="00535E21">
        <w:rPr>
          <w:rFonts w:ascii="Aptos" w:hAnsi="Aptos" w:cstheme="minorHAnsi"/>
          <w:sz w:val="24"/>
          <w:szCs w:val="24"/>
        </w:rPr>
        <w:t xml:space="preserve">: </w:t>
      </w:r>
    </w:p>
    <w:p w14:paraId="5765D74C" w14:textId="77777777" w:rsidR="00470B5A" w:rsidRPr="00535E21" w:rsidRDefault="00470B5A" w:rsidP="00470B5A">
      <w:pPr>
        <w:pStyle w:val="Titolo1"/>
        <w:ind w:left="0"/>
        <w:rPr>
          <w:rFonts w:ascii="Aptos" w:hAnsi="Aptos" w:cstheme="minorHAnsi"/>
          <w:i/>
          <w:iCs/>
          <w:sz w:val="24"/>
          <w:szCs w:val="24"/>
        </w:rPr>
      </w:pPr>
    </w:p>
    <w:p w14:paraId="6D65047B" w14:textId="437E8AC8" w:rsidR="00470B5A" w:rsidRPr="00535E21" w:rsidRDefault="00470B5A" w:rsidP="00470B5A">
      <w:pPr>
        <w:pStyle w:val="Titolo1"/>
        <w:ind w:left="0"/>
        <w:rPr>
          <w:rFonts w:ascii="Aptos" w:hAnsi="Aptos" w:cstheme="minorHAnsi"/>
          <w:b w:val="0"/>
          <w:bCs w:val="0"/>
          <w:i/>
          <w:iCs/>
          <w:sz w:val="24"/>
          <w:szCs w:val="24"/>
        </w:rPr>
      </w:pPr>
      <w:r w:rsidRPr="00535E21">
        <w:rPr>
          <w:rFonts w:ascii="Aptos" w:hAnsi="Aptos" w:cstheme="minorHAnsi"/>
          <w:b w:val="0"/>
          <w:bCs w:val="0"/>
          <w:i/>
          <w:iCs/>
          <w:sz w:val="24"/>
          <w:szCs w:val="24"/>
        </w:rPr>
        <w:t>articolo 45 della legge n. 203 del 1982</w:t>
      </w:r>
    </w:p>
    <w:p w14:paraId="53317B8A" w14:textId="1F320B46" w:rsidR="00470B5A" w:rsidRPr="00535E21" w:rsidRDefault="00470B5A" w:rsidP="00470B5A">
      <w:pPr>
        <w:pStyle w:val="Titolo1"/>
        <w:ind w:left="0"/>
        <w:rPr>
          <w:rFonts w:ascii="Aptos" w:hAnsi="Aptos" w:cstheme="minorHAnsi"/>
          <w:b w:val="0"/>
          <w:bCs w:val="0"/>
          <w:i/>
          <w:iCs/>
          <w:sz w:val="24"/>
          <w:szCs w:val="24"/>
        </w:rPr>
      </w:pPr>
      <w:r w:rsidRPr="00535E21">
        <w:rPr>
          <w:rFonts w:ascii="Aptos" w:hAnsi="Aptos" w:cstheme="minorHAnsi"/>
          <w:b w:val="0"/>
          <w:bCs w:val="0"/>
          <w:i/>
          <w:iCs/>
          <w:sz w:val="24"/>
          <w:szCs w:val="24"/>
        </w:rPr>
        <w:t>articolo 437 c.p.c</w:t>
      </w:r>
    </w:p>
    <w:p w14:paraId="3217FFD8" w14:textId="6CAC8412" w:rsidR="00470B5A" w:rsidRPr="00535E21" w:rsidRDefault="00470B5A" w:rsidP="00B6207E">
      <w:pPr>
        <w:pStyle w:val="Titolo1"/>
        <w:spacing w:line="276" w:lineRule="auto"/>
        <w:ind w:left="0"/>
        <w:jc w:val="both"/>
        <w:rPr>
          <w:rFonts w:ascii="Aptos" w:hAnsi="Aptos" w:cstheme="minorHAnsi"/>
          <w:b w:val="0"/>
          <w:bCs w:val="0"/>
          <w:i/>
          <w:iCs/>
          <w:sz w:val="24"/>
          <w:szCs w:val="24"/>
        </w:rPr>
      </w:pPr>
      <w:r w:rsidRPr="00535E21">
        <w:rPr>
          <w:rFonts w:ascii="Aptos" w:hAnsi="Aptos" w:cstheme="minorHAnsi"/>
          <w:b w:val="0"/>
          <w:bCs w:val="0"/>
          <w:i/>
          <w:iCs/>
          <w:sz w:val="24"/>
          <w:szCs w:val="24"/>
        </w:rPr>
        <w:t>ordinanza n. 19483 del 12 giugno 2026</w:t>
      </w:r>
    </w:p>
    <w:p w14:paraId="6990FCEB" w14:textId="12AD475B" w:rsidR="00470B5A" w:rsidRPr="00535E21" w:rsidRDefault="00470B5A" w:rsidP="00B6207E">
      <w:pPr>
        <w:pStyle w:val="Titolo1"/>
        <w:spacing w:line="276" w:lineRule="auto"/>
        <w:ind w:left="0"/>
        <w:jc w:val="both"/>
        <w:rPr>
          <w:rFonts w:ascii="Aptos" w:hAnsi="Aptos" w:cstheme="minorHAnsi"/>
          <w:b w:val="0"/>
          <w:bCs w:val="0"/>
          <w:i/>
          <w:iCs/>
          <w:sz w:val="24"/>
          <w:szCs w:val="24"/>
        </w:rPr>
      </w:pPr>
      <w:r w:rsidRPr="00535E21">
        <w:rPr>
          <w:rFonts w:ascii="Aptos" w:hAnsi="Aptos" w:cstheme="minorHAnsi"/>
          <w:b w:val="0"/>
          <w:bCs w:val="0"/>
          <w:i/>
          <w:iCs/>
          <w:sz w:val="24"/>
          <w:szCs w:val="24"/>
        </w:rPr>
        <w:t xml:space="preserve">ordinanza n. 17195 del 15 giugno 2023 </w:t>
      </w:r>
    </w:p>
    <w:p w14:paraId="18DE7F64" w14:textId="1A91E1D2" w:rsidR="00470B5A" w:rsidRPr="00535E21" w:rsidRDefault="00470B5A" w:rsidP="00B6207E">
      <w:pPr>
        <w:pStyle w:val="Titolo1"/>
        <w:spacing w:line="276" w:lineRule="auto"/>
        <w:ind w:left="0"/>
        <w:jc w:val="both"/>
        <w:rPr>
          <w:rFonts w:ascii="Aptos" w:hAnsi="Aptos" w:cstheme="minorHAnsi"/>
          <w:b w:val="0"/>
          <w:bCs w:val="0"/>
          <w:i/>
          <w:iCs/>
          <w:sz w:val="24"/>
          <w:szCs w:val="24"/>
        </w:rPr>
      </w:pPr>
      <w:r w:rsidRPr="00535E21">
        <w:rPr>
          <w:rFonts w:ascii="Aptos" w:hAnsi="Aptos" w:cstheme="minorHAnsi"/>
          <w:b w:val="0"/>
          <w:bCs w:val="0"/>
          <w:i/>
          <w:iCs/>
          <w:sz w:val="24"/>
          <w:szCs w:val="24"/>
        </w:rPr>
        <w:t>ordinanza n. 22322 del 2 agosto 2025</w:t>
      </w:r>
    </w:p>
    <w:p w14:paraId="3DB9EC7A" w14:textId="77777777" w:rsidR="004801D1" w:rsidRPr="00535E21" w:rsidRDefault="004801D1" w:rsidP="004801D1">
      <w:pPr>
        <w:pStyle w:val="Titolo1"/>
        <w:spacing w:line="276" w:lineRule="auto"/>
        <w:jc w:val="both"/>
        <w:rPr>
          <w:rFonts w:ascii="Aptos" w:hAnsi="Aptos" w:cstheme="minorHAnsi"/>
          <w:sz w:val="24"/>
          <w:szCs w:val="24"/>
        </w:rPr>
      </w:pPr>
    </w:p>
    <w:p w14:paraId="7FDD7813" w14:textId="77777777" w:rsidR="00EF3604" w:rsidRPr="00535E21" w:rsidRDefault="00EF3604" w:rsidP="004801D1">
      <w:pPr>
        <w:pStyle w:val="Titolo1"/>
        <w:spacing w:line="276" w:lineRule="auto"/>
        <w:jc w:val="both"/>
        <w:rPr>
          <w:rFonts w:ascii="Aptos" w:hAnsi="Aptos" w:cstheme="minorHAnsi"/>
          <w:sz w:val="24"/>
          <w:szCs w:val="24"/>
        </w:rPr>
      </w:pPr>
    </w:p>
    <w:p w14:paraId="35EEC84D" w14:textId="77777777" w:rsidR="00EF3604" w:rsidRPr="00535E21" w:rsidRDefault="00EF3604" w:rsidP="004801D1">
      <w:pPr>
        <w:pStyle w:val="Titolo1"/>
        <w:spacing w:line="276" w:lineRule="auto"/>
        <w:jc w:val="both"/>
        <w:rPr>
          <w:rFonts w:ascii="Aptos" w:hAnsi="Aptos" w:cstheme="minorHAnsi"/>
          <w:sz w:val="24"/>
          <w:szCs w:val="24"/>
        </w:rPr>
      </w:pPr>
    </w:p>
    <w:p w14:paraId="6B2AC440" w14:textId="77777777" w:rsidR="00EF3604" w:rsidRPr="00535E21" w:rsidRDefault="00EF3604" w:rsidP="004801D1">
      <w:pPr>
        <w:pStyle w:val="Titolo1"/>
        <w:spacing w:line="276" w:lineRule="auto"/>
        <w:jc w:val="both"/>
        <w:rPr>
          <w:rFonts w:ascii="Aptos" w:hAnsi="Aptos" w:cstheme="minorHAnsi"/>
          <w:sz w:val="24"/>
          <w:szCs w:val="24"/>
        </w:rPr>
      </w:pPr>
    </w:p>
    <w:p w14:paraId="745936BB" w14:textId="52B67BD8" w:rsidR="004801D1" w:rsidRPr="00535E21" w:rsidRDefault="00197FA0" w:rsidP="004801D1">
      <w:pPr>
        <w:pStyle w:val="Titolo1"/>
        <w:spacing w:line="276" w:lineRule="auto"/>
        <w:jc w:val="both"/>
        <w:rPr>
          <w:rFonts w:ascii="Aptos" w:hAnsi="Aptos" w:cstheme="minorHAnsi"/>
          <w:sz w:val="24"/>
          <w:szCs w:val="24"/>
        </w:rPr>
      </w:pPr>
      <w:r w:rsidRPr="00535E21">
        <w:rPr>
          <w:rFonts w:ascii="Aptos" w:hAnsi="Aptos" w:cstheme="minorHAnsi"/>
          <w:sz w:val="24"/>
          <w:szCs w:val="24"/>
        </w:rPr>
        <w:t>IN</w:t>
      </w:r>
      <w:r w:rsidRPr="00535E21">
        <w:rPr>
          <w:rFonts w:ascii="Aptos" w:hAnsi="Aptos" w:cstheme="minorHAnsi"/>
          <w:spacing w:val="2"/>
          <w:sz w:val="24"/>
          <w:szCs w:val="24"/>
        </w:rPr>
        <w:t xml:space="preserve"> </w:t>
      </w:r>
      <w:r w:rsidRPr="00535E21">
        <w:rPr>
          <w:rFonts w:ascii="Aptos" w:hAnsi="Aptos" w:cstheme="minorHAnsi"/>
          <w:sz w:val="24"/>
          <w:szCs w:val="24"/>
        </w:rPr>
        <w:t>SINTESI</w:t>
      </w:r>
      <w:r w:rsidR="00D45779" w:rsidRPr="00535E21">
        <w:rPr>
          <w:rFonts w:ascii="Aptos" w:hAnsi="Aptos" w:cstheme="minorHAnsi"/>
          <w:sz w:val="24"/>
          <w:szCs w:val="24"/>
        </w:rPr>
        <w:t>:</w:t>
      </w:r>
      <w:r w:rsidR="001559DB" w:rsidRPr="00535E21">
        <w:rPr>
          <w:rFonts w:ascii="Aptos" w:hAnsi="Aptos" w:cstheme="minorHAnsi"/>
          <w:sz w:val="24"/>
          <w:szCs w:val="24"/>
        </w:rPr>
        <w:t xml:space="preserve"> </w:t>
      </w:r>
    </w:p>
    <w:p w14:paraId="225B92FA" w14:textId="77777777" w:rsidR="00535E21" w:rsidRPr="00535E21" w:rsidRDefault="00535E21" w:rsidP="00535E21">
      <w:pPr>
        <w:pStyle w:val="Titolo1"/>
        <w:spacing w:line="360" w:lineRule="auto"/>
        <w:jc w:val="both"/>
        <w:rPr>
          <w:rFonts w:ascii="Aptos" w:hAnsi="Aptos" w:cstheme="minorHAnsi"/>
          <w:sz w:val="24"/>
          <w:szCs w:val="24"/>
        </w:rPr>
      </w:pPr>
    </w:p>
    <w:p w14:paraId="2E223532" w14:textId="77777777" w:rsidR="00535E21" w:rsidRPr="00535E21" w:rsidRDefault="00535E21" w:rsidP="00535E21">
      <w:pPr>
        <w:pStyle w:val="Titolo1"/>
        <w:jc w:val="both"/>
        <w:rPr>
          <w:rFonts w:ascii="Aptos" w:hAnsi="Aptos" w:cstheme="minorHAnsi"/>
          <w:b w:val="0"/>
          <w:bCs w:val="0"/>
          <w:sz w:val="24"/>
          <w:szCs w:val="24"/>
        </w:rPr>
      </w:pPr>
      <w:r w:rsidRPr="00426652">
        <w:rPr>
          <w:rFonts w:ascii="Aptos" w:hAnsi="Aptos" w:cstheme="minorHAnsi"/>
          <w:b w:val="0"/>
          <w:bCs w:val="0"/>
          <w:i/>
          <w:iCs/>
          <w:sz w:val="24"/>
          <w:szCs w:val="24"/>
        </w:rPr>
        <w:t>Con l’ordinanza n. 19483 del 12 giugno 2026, la Corte di cassazione ribadisce importanti principi in materia di affitto agrario, confermando che la qualificazione del rapporto dipende dal titolo contrattuale e dall’oggetto del contratto e non può essere modificata dall’utilizzo di fatto del fondo da parte dell’affittuario. La pronuncia affronta inoltre il tema delle preclusioni processuali nel rito agrario, riafferma la piena validità degli accordi in deroga stipulati con l’assistenza delle organizzazioni professionali agricole ai sensi dell’art. 45 della legge n. 203/1982 e attribuisce particolare forza probatoria alla dichiarazione di avvenuta assistenza sindacale, contestabile solo mediante gli specifici rimedi previsti dall’ordinamento. La Corte conferma, infine, che il persistente godimento del fondo esclude la legittimità della sospensione integrale del pagamento del canone e che ciascun comproprietario è legittimato ad agire autonomamente per la risoluzione del contratto in caso di morosità dell’affittuario. La decisione si inserisce nel solco della più recente giurisprudenza di legittimità, rafforzando la certezza dei rapporti agrari e la stabilità degli accordi assistit</w:t>
      </w:r>
      <w:r w:rsidRPr="00535E21">
        <w:rPr>
          <w:rFonts w:ascii="Aptos" w:hAnsi="Aptos" w:cstheme="minorHAnsi"/>
          <w:b w:val="0"/>
          <w:bCs w:val="0"/>
          <w:sz w:val="24"/>
          <w:szCs w:val="24"/>
        </w:rPr>
        <w:t>i.</w:t>
      </w:r>
    </w:p>
    <w:p w14:paraId="7AAB53F9" w14:textId="77777777" w:rsidR="00F47C4C" w:rsidRPr="00535E21" w:rsidRDefault="00F47C4C" w:rsidP="00535E21">
      <w:pPr>
        <w:pStyle w:val="Titolo1"/>
        <w:jc w:val="both"/>
        <w:rPr>
          <w:rFonts w:ascii="Aptos" w:hAnsi="Aptos" w:cstheme="minorHAnsi"/>
          <w:b w:val="0"/>
          <w:bCs w:val="0"/>
          <w:sz w:val="24"/>
          <w:szCs w:val="24"/>
        </w:rPr>
      </w:pPr>
    </w:p>
    <w:p w14:paraId="2DE38A0E" w14:textId="77777777" w:rsidR="00456017" w:rsidRPr="00535E21" w:rsidRDefault="00456017" w:rsidP="00535E21">
      <w:pPr>
        <w:pStyle w:val="Titolo1"/>
        <w:ind w:left="0"/>
        <w:jc w:val="both"/>
        <w:rPr>
          <w:rFonts w:ascii="Aptos" w:hAnsi="Aptos" w:cstheme="minorHAnsi"/>
          <w:b w:val="0"/>
          <w:bCs w:val="0"/>
        </w:rPr>
      </w:pPr>
    </w:p>
    <w:p w14:paraId="7EFB5EC3" w14:textId="77777777" w:rsidR="005F36A9" w:rsidRPr="00535E21" w:rsidRDefault="005F36A9" w:rsidP="00535E21">
      <w:pPr>
        <w:pStyle w:val="Titolo1"/>
        <w:jc w:val="both"/>
        <w:rPr>
          <w:rFonts w:ascii="Aptos" w:hAnsi="Aptos" w:cstheme="minorHAnsi"/>
          <w:b w:val="0"/>
          <w:bCs w:val="0"/>
          <w:color w:val="333333"/>
          <w:shd w:val="clear" w:color="auto" w:fill="FFFFFF"/>
        </w:rPr>
      </w:pPr>
    </w:p>
    <w:p w14:paraId="0EB53F31" w14:textId="77777777" w:rsidR="00835A58" w:rsidRPr="00535E21" w:rsidRDefault="00835A58" w:rsidP="00535E21">
      <w:pPr>
        <w:jc w:val="both"/>
        <w:rPr>
          <w:rFonts w:ascii="Aptos" w:hAnsi="Aptos" w:cstheme="minorHAnsi"/>
        </w:rPr>
      </w:pPr>
    </w:p>
    <w:p w14:paraId="72CE9E01" w14:textId="488A2885" w:rsidR="003A3EC6" w:rsidRPr="00B6207E" w:rsidRDefault="003A3EC6" w:rsidP="00B6207E">
      <w:pPr>
        <w:spacing w:line="276" w:lineRule="auto"/>
        <w:jc w:val="both"/>
        <w:rPr>
          <w:rFonts w:ascii="Aptos" w:hAnsi="Aptos" w:cstheme="minorHAnsi"/>
        </w:rPr>
        <w:sectPr w:rsidR="003A3EC6" w:rsidRPr="00B6207E" w:rsidSect="00C8507F">
          <w:type w:val="continuous"/>
          <w:pgSz w:w="11910" w:h="16840"/>
          <w:pgMar w:top="560" w:right="1020" w:bottom="280" w:left="8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2C50E753" w14:textId="75C6EA0F" w:rsidR="00835A58" w:rsidRPr="00B6207E" w:rsidRDefault="00103476" w:rsidP="00B6207E">
      <w:pPr>
        <w:pStyle w:val="Corpotesto"/>
        <w:spacing w:line="276" w:lineRule="auto"/>
        <w:ind w:left="-28"/>
        <w:jc w:val="both"/>
        <w:rPr>
          <w:rFonts w:ascii="Aptos" w:hAnsi="Aptos" w:cstheme="minorHAnsi"/>
        </w:rPr>
      </w:pPr>
      <w:r w:rsidRPr="00B6207E">
        <w:rPr>
          <w:rFonts w:ascii="Aptos" w:hAnsi="Aptos" w:cstheme="minorHAnsi"/>
          <w:noProof/>
          <w:lang w:eastAsia="it-IT"/>
        </w:rPr>
        <w:lastRenderedPageBreak/>
        <mc:AlternateContent>
          <mc:Choice Requires="wpg">
            <w:drawing>
              <wp:inline distT="0" distB="0" distL="0" distR="0" wp14:anchorId="75055A5F" wp14:editId="03F8AB0E">
                <wp:extent cx="6300470" cy="26035"/>
                <wp:effectExtent l="0" t="0" r="0" b="0"/>
                <wp:docPr id="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6035"/>
                          <a:chOff x="0" y="0"/>
                          <a:chExt cx="9922" cy="41"/>
                        </a:xfrm>
                      </wpg:grpSpPr>
                      <wps:wsp>
                        <wps:cNvPr id="9" name="Rectangle 5"/>
                        <wps:cNvSpPr>
                          <a:spLocks noChangeArrowheads="1"/>
                        </wps:cNvSpPr>
                        <wps:spPr bwMode="auto">
                          <a:xfrm>
                            <a:off x="0" y="0"/>
                            <a:ext cx="9922" cy="41"/>
                          </a:xfrm>
                          <a:prstGeom prst="rect">
                            <a:avLst/>
                          </a:prstGeom>
                          <a:solidFill>
                            <a:srgbClr val="008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B3CF704" id="Group 4" o:spid="_x0000_s1026" style="width:496.1pt;height:2.05pt;mso-position-horizontal-relative:char;mso-position-vertical-relative:line" coordsize="99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">
                <v:rect id="Rectangle 5" o:spid="_x0000_s1027" style="position:absolute;width:9922;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" fillcolor="#00893d" stroked="f"/>
                <w10:anchorlock/>
              </v:group>
            </w:pict>
          </mc:Fallback>
        </mc:AlternateContent>
      </w:r>
    </w:p>
    <w:p w14:paraId="58D7D4D2" w14:textId="77777777" w:rsidR="00EF3604" w:rsidRPr="005F6495" w:rsidRDefault="00EF3604" w:rsidP="00EF3604">
      <w:pPr>
        <w:ind w:left="3600" w:right="109" w:firstLine="720"/>
        <w:jc w:val="both"/>
        <w:rPr>
          <w:rFonts w:ascii="Garamond" w:hAnsi="Garamond" w:cstheme="minorHAnsi"/>
          <w:b/>
          <w:i/>
          <w:color w:val="007736"/>
        </w:rPr>
      </w:pPr>
      <w:r w:rsidRPr="005F6495">
        <w:rPr>
          <w:rFonts w:ascii="Garamond" w:hAnsi="Garamond" w:cstheme="minorHAnsi"/>
          <w:b/>
          <w:i/>
          <w:color w:val="007736"/>
        </w:rPr>
        <w:t>Direzione politiche del lavoro, welfare e sicurezza sul lavoro</w:t>
      </w:r>
    </w:p>
    <w:p w14:paraId="6B0C5ED1" w14:textId="77777777" w:rsidR="00EF3604" w:rsidRPr="005F6495" w:rsidRDefault="00EF3604" w:rsidP="00EF3604">
      <w:pPr>
        <w:ind w:right="109"/>
        <w:jc w:val="both"/>
        <w:rPr>
          <w:rFonts w:ascii="Garamond" w:hAnsi="Garamond" w:cstheme="minorHAnsi"/>
          <w:b/>
          <w:i/>
          <w:color w:val="007736"/>
        </w:rPr>
      </w:pPr>
      <w:r w:rsidRPr="005F6495">
        <w:rPr>
          <w:rFonts w:ascii="Garamond" w:hAnsi="Garamond" w:cstheme="minorHAnsi"/>
          <w:b/>
          <w:i/>
          <w:color w:val="007736"/>
        </w:rPr>
        <w:t xml:space="preserve">                                                                                                                                </w:t>
      </w:r>
      <w:r>
        <w:rPr>
          <w:rFonts w:ascii="Garamond" w:hAnsi="Garamond" w:cstheme="minorHAnsi"/>
          <w:b/>
          <w:i/>
          <w:color w:val="007736"/>
        </w:rPr>
        <w:t xml:space="preserve">                </w:t>
      </w:r>
      <w:r w:rsidRPr="005F6495">
        <w:rPr>
          <w:rFonts w:ascii="Garamond" w:hAnsi="Garamond" w:cstheme="minorHAnsi"/>
          <w:b/>
          <w:i/>
          <w:color w:val="007736"/>
        </w:rPr>
        <w:t xml:space="preserve"> Ufficio Affari Legali </w:t>
      </w:r>
    </w:p>
    <w:p w14:paraId="549E72A8" w14:textId="0DA03E2C" w:rsidR="00EF3604" w:rsidRPr="005F6495" w:rsidRDefault="00EF3604" w:rsidP="00EF3604">
      <w:pPr>
        <w:tabs>
          <w:tab w:val="left" w:pos="5731"/>
        </w:tabs>
        <w:ind w:right="107"/>
        <w:jc w:val="both"/>
        <w:rPr>
          <w:rFonts w:ascii="Garamond" w:hAnsi="Garamond" w:cstheme="minorHAnsi"/>
          <w:i/>
        </w:rPr>
      </w:pPr>
      <w:r w:rsidRPr="005F6495">
        <w:rPr>
          <w:rFonts w:ascii="Garamond" w:hAnsi="Garamond" w:cstheme="minorHAnsi"/>
          <w:b/>
          <w:i/>
        </w:rPr>
        <w:t xml:space="preserve"> </w:t>
      </w:r>
      <w:r>
        <w:rPr>
          <w:rFonts w:ascii="Garamond" w:hAnsi="Garamond" w:cstheme="minorHAnsi"/>
          <w:b/>
          <w:i/>
        </w:rPr>
        <w:t>GC</w:t>
      </w:r>
      <w:r w:rsidRPr="005F6495">
        <w:rPr>
          <w:rFonts w:ascii="Garamond" w:hAnsi="Garamond" w:cstheme="minorHAnsi"/>
          <w:b/>
          <w:i/>
        </w:rPr>
        <w:t xml:space="preserve">.cl    </w:t>
      </w:r>
      <w:r w:rsidRPr="005F6495">
        <w:rPr>
          <w:rFonts w:ascii="Garamond" w:hAnsi="Garamond" w:cstheme="minorHAnsi"/>
          <w:b/>
          <w:i/>
        </w:rPr>
        <w:tab/>
      </w:r>
      <w:r>
        <w:rPr>
          <w:rFonts w:ascii="Garamond" w:hAnsi="Garamond" w:cstheme="minorHAnsi"/>
          <w:b/>
          <w:i/>
        </w:rPr>
        <w:t xml:space="preserve">       </w:t>
      </w:r>
      <w:r w:rsidRPr="005F6495">
        <w:rPr>
          <w:rFonts w:ascii="Garamond" w:hAnsi="Garamond" w:cstheme="minorHAnsi"/>
          <w:i/>
        </w:rPr>
        <w:t>Corso</w:t>
      </w:r>
      <w:r w:rsidRPr="005F6495">
        <w:rPr>
          <w:rFonts w:ascii="Garamond" w:hAnsi="Garamond" w:cstheme="minorHAnsi"/>
          <w:i/>
          <w:spacing w:val="-1"/>
        </w:rPr>
        <w:t xml:space="preserve"> </w:t>
      </w:r>
      <w:r w:rsidRPr="005F6495">
        <w:rPr>
          <w:rFonts w:ascii="Garamond" w:hAnsi="Garamond" w:cstheme="minorHAnsi"/>
          <w:i/>
        </w:rPr>
        <w:t>Vittorio</w:t>
      </w:r>
      <w:r w:rsidRPr="005F6495">
        <w:rPr>
          <w:rFonts w:ascii="Garamond" w:hAnsi="Garamond" w:cstheme="minorHAnsi"/>
          <w:i/>
          <w:spacing w:val="-2"/>
        </w:rPr>
        <w:t xml:space="preserve"> </w:t>
      </w:r>
      <w:r w:rsidRPr="005F6495">
        <w:rPr>
          <w:rFonts w:ascii="Garamond" w:hAnsi="Garamond" w:cstheme="minorHAnsi"/>
          <w:i/>
        </w:rPr>
        <w:t>Emanuele II,</w:t>
      </w:r>
      <w:r w:rsidRPr="005F6495">
        <w:rPr>
          <w:rFonts w:ascii="Garamond" w:hAnsi="Garamond" w:cstheme="minorHAnsi"/>
          <w:i/>
          <w:spacing w:val="-6"/>
        </w:rPr>
        <w:t xml:space="preserve"> </w:t>
      </w:r>
      <w:r w:rsidRPr="005F6495">
        <w:rPr>
          <w:rFonts w:ascii="Garamond" w:hAnsi="Garamond" w:cstheme="minorHAnsi"/>
          <w:i/>
        </w:rPr>
        <w:t>101</w:t>
      </w:r>
      <w:r w:rsidRPr="005F6495">
        <w:rPr>
          <w:rFonts w:ascii="Garamond" w:hAnsi="Garamond" w:cstheme="minorHAnsi"/>
          <w:i/>
          <w:spacing w:val="3"/>
        </w:rPr>
        <w:t xml:space="preserve"> </w:t>
      </w:r>
      <w:r w:rsidRPr="005F6495">
        <w:rPr>
          <w:rFonts w:ascii="Garamond" w:hAnsi="Garamond" w:cstheme="minorHAnsi"/>
          <w:i/>
        </w:rPr>
        <w:t>-</w:t>
      </w:r>
      <w:r w:rsidRPr="005F6495">
        <w:rPr>
          <w:rFonts w:ascii="Garamond" w:hAnsi="Garamond" w:cstheme="minorHAnsi"/>
          <w:i/>
          <w:spacing w:val="-3"/>
        </w:rPr>
        <w:t xml:space="preserve"> </w:t>
      </w:r>
      <w:r w:rsidRPr="005F6495">
        <w:rPr>
          <w:rFonts w:ascii="Garamond" w:hAnsi="Garamond" w:cstheme="minorHAnsi"/>
          <w:i/>
        </w:rPr>
        <w:t>00186 Roma</w:t>
      </w:r>
    </w:p>
    <w:p w14:paraId="5DA18540" w14:textId="42C450BD" w:rsidR="00EF3604" w:rsidRPr="005F6495" w:rsidRDefault="00EF3604" w:rsidP="00EF3604">
      <w:pPr>
        <w:tabs>
          <w:tab w:val="left" w:pos="5719"/>
        </w:tabs>
        <w:ind w:right="109"/>
        <w:jc w:val="both"/>
        <w:rPr>
          <w:rFonts w:ascii="Garamond" w:hAnsi="Garamond" w:cstheme="minorHAnsi"/>
          <w:i/>
        </w:rPr>
      </w:pPr>
      <w:r w:rsidRPr="005F6495">
        <w:rPr>
          <w:rFonts w:ascii="Garamond" w:hAnsi="Garamond" w:cstheme="minorHAnsi"/>
          <w:b/>
          <w:i/>
        </w:rPr>
        <w:t>Circolare</w:t>
      </w:r>
      <w:r w:rsidRPr="005F6495">
        <w:rPr>
          <w:rFonts w:ascii="Garamond" w:hAnsi="Garamond" w:cstheme="minorHAnsi"/>
          <w:b/>
          <w:i/>
          <w:spacing w:val="-1"/>
        </w:rPr>
        <w:t xml:space="preserve"> </w:t>
      </w:r>
      <w:r w:rsidRPr="005F6495">
        <w:rPr>
          <w:rFonts w:ascii="Garamond" w:hAnsi="Garamond" w:cstheme="minorHAnsi"/>
          <w:b/>
          <w:i/>
        </w:rPr>
        <w:t xml:space="preserve">n. </w:t>
      </w:r>
      <w:r w:rsidR="00426652">
        <w:rPr>
          <w:rFonts w:ascii="Garamond" w:hAnsi="Garamond" w:cstheme="minorHAnsi"/>
          <w:b/>
          <w:i/>
        </w:rPr>
        <w:t xml:space="preserve"> 17663</w:t>
      </w:r>
      <w:r w:rsidRPr="005F6495">
        <w:rPr>
          <w:rFonts w:ascii="Garamond" w:hAnsi="Garamond" w:cstheme="minorHAnsi"/>
          <w:b/>
          <w:i/>
        </w:rPr>
        <w:t xml:space="preserve">                                                                         </w:t>
      </w:r>
      <w:r>
        <w:rPr>
          <w:rFonts w:ascii="Garamond" w:hAnsi="Garamond" w:cstheme="minorHAnsi"/>
          <w:b/>
          <w:i/>
        </w:rPr>
        <w:t xml:space="preserve">                </w:t>
      </w:r>
      <w:r w:rsidRPr="005F6495">
        <w:rPr>
          <w:rFonts w:ascii="Garamond" w:hAnsi="Garamond" w:cstheme="minorHAnsi"/>
          <w:i/>
        </w:rPr>
        <w:t>tel.:</w:t>
      </w:r>
      <w:r w:rsidRPr="005F6495">
        <w:rPr>
          <w:rFonts w:ascii="Garamond" w:hAnsi="Garamond" w:cstheme="minorHAnsi"/>
          <w:i/>
          <w:spacing w:val="-1"/>
        </w:rPr>
        <w:t xml:space="preserve"> </w:t>
      </w:r>
      <w:r w:rsidRPr="005F6495">
        <w:rPr>
          <w:rFonts w:ascii="Garamond" w:hAnsi="Garamond" w:cstheme="minorHAnsi"/>
          <w:i/>
        </w:rPr>
        <w:t>+39.06.68.52.229 -</w:t>
      </w:r>
      <w:r w:rsidRPr="005F6495">
        <w:rPr>
          <w:rFonts w:ascii="Garamond" w:hAnsi="Garamond" w:cstheme="minorHAnsi"/>
          <w:i/>
          <w:spacing w:val="-1"/>
        </w:rPr>
        <w:t xml:space="preserve"> </w:t>
      </w:r>
      <w:r w:rsidRPr="005F6495">
        <w:rPr>
          <w:rFonts w:ascii="Garamond" w:hAnsi="Garamond" w:cstheme="minorHAnsi"/>
          <w:i/>
        </w:rPr>
        <w:t>fax:</w:t>
      </w:r>
      <w:r w:rsidRPr="005F6495">
        <w:rPr>
          <w:rFonts w:ascii="Garamond" w:hAnsi="Garamond" w:cstheme="minorHAnsi"/>
          <w:i/>
          <w:spacing w:val="-2"/>
        </w:rPr>
        <w:t xml:space="preserve"> </w:t>
      </w:r>
      <w:r w:rsidRPr="005F6495">
        <w:rPr>
          <w:rFonts w:ascii="Garamond" w:hAnsi="Garamond" w:cstheme="minorHAnsi"/>
          <w:i/>
        </w:rPr>
        <w:t>+39.06.68.52.307</w:t>
      </w:r>
    </w:p>
    <w:p w14:paraId="1881C982" w14:textId="022BC094" w:rsidR="00EF3604" w:rsidRPr="005F6495" w:rsidRDefault="00EF3604" w:rsidP="00EF3604">
      <w:pPr>
        <w:tabs>
          <w:tab w:val="left" w:pos="6830"/>
        </w:tabs>
        <w:ind w:right="109"/>
        <w:jc w:val="both"/>
        <w:rPr>
          <w:rFonts w:ascii="Garamond" w:hAnsi="Garamond" w:cstheme="minorHAnsi"/>
          <w:i/>
        </w:rPr>
      </w:pPr>
      <w:r w:rsidRPr="005F6495">
        <w:rPr>
          <w:rFonts w:ascii="Garamond" w:hAnsi="Garamond" w:cstheme="minorHAnsi"/>
          <w:b/>
          <w:i/>
        </w:rPr>
        <w:t xml:space="preserve">Prot. n.  </w:t>
      </w:r>
      <w:r w:rsidR="00426652">
        <w:rPr>
          <w:rFonts w:ascii="Garamond" w:hAnsi="Garamond" w:cstheme="minorHAnsi"/>
          <w:b/>
          <w:i/>
        </w:rPr>
        <w:t>736</w:t>
      </w:r>
      <w:r w:rsidRPr="005F6495">
        <w:rPr>
          <w:rFonts w:ascii="Garamond" w:hAnsi="Garamond" w:cstheme="minorHAnsi"/>
          <w:b/>
          <w:i/>
        </w:rPr>
        <w:t xml:space="preserve">                                                                                                       </w:t>
      </w:r>
      <w:r>
        <w:rPr>
          <w:rFonts w:ascii="Garamond" w:hAnsi="Garamond" w:cstheme="minorHAnsi"/>
          <w:b/>
          <w:i/>
        </w:rPr>
        <w:t xml:space="preserve">               </w:t>
      </w:r>
      <w:r w:rsidRPr="005F6495">
        <w:rPr>
          <w:rFonts w:ascii="Garamond" w:hAnsi="Garamond" w:cstheme="minorHAnsi"/>
          <w:b/>
          <w:i/>
        </w:rPr>
        <w:t xml:space="preserve"> </w:t>
      </w:r>
      <w:r w:rsidRPr="005F6495">
        <w:rPr>
          <w:rFonts w:ascii="Garamond" w:hAnsi="Garamond" w:cstheme="minorHAnsi"/>
          <w:i/>
        </w:rPr>
        <w:t>e-mail:</w:t>
      </w:r>
      <w:r w:rsidRPr="005F6495">
        <w:rPr>
          <w:rFonts w:ascii="Garamond" w:hAnsi="Garamond" w:cstheme="minorHAnsi"/>
          <w:i/>
          <w:spacing w:val="-5"/>
        </w:rPr>
        <w:t xml:space="preserve"> </w:t>
      </w:r>
      <w:hyperlink r:id="rId10">
        <w:r w:rsidRPr="005F6495">
          <w:rPr>
            <w:rFonts w:ascii="Garamond" w:hAnsi="Garamond" w:cstheme="minorHAnsi"/>
            <w:i/>
            <w:color w:val="0000FF"/>
            <w:u w:val="single" w:color="0000FF"/>
          </w:rPr>
          <w:t>legale@confagricoltura.it</w:t>
        </w:r>
      </w:hyperlink>
    </w:p>
    <w:p w14:paraId="461C5139" w14:textId="0EC6F1A9" w:rsidR="00EF3604" w:rsidRPr="005F6495" w:rsidRDefault="00EF3604" w:rsidP="00EF3604">
      <w:pPr>
        <w:spacing w:after="47"/>
        <w:ind w:right="111"/>
        <w:jc w:val="both"/>
        <w:rPr>
          <w:rFonts w:ascii="Garamond" w:hAnsi="Garamond"/>
        </w:rPr>
      </w:pPr>
      <w:r w:rsidRPr="005F6495">
        <w:rPr>
          <w:rFonts w:ascii="Garamond" w:hAnsi="Garamond" w:cstheme="minorHAnsi"/>
          <w:b/>
          <w:bCs/>
          <w:i/>
        </w:rPr>
        <w:t xml:space="preserve">Roma,  </w:t>
      </w:r>
      <w:r w:rsidR="00426652">
        <w:rPr>
          <w:rFonts w:ascii="Garamond" w:hAnsi="Garamond" w:cstheme="minorHAnsi"/>
          <w:b/>
          <w:bCs/>
          <w:i/>
        </w:rPr>
        <w:t>8 luglio 2026</w:t>
      </w:r>
      <w:r w:rsidRPr="005F6495">
        <w:rPr>
          <w:rFonts w:ascii="Garamond" w:hAnsi="Garamond" w:cstheme="minorHAnsi"/>
          <w:b/>
          <w:bCs/>
          <w:i/>
        </w:rPr>
        <w:t xml:space="preserve">                          </w:t>
      </w:r>
      <w:r w:rsidRPr="005F6495">
        <w:rPr>
          <w:rFonts w:ascii="Garamond" w:hAnsi="Garamond" w:cstheme="minorHAnsi"/>
          <w:i/>
        </w:rPr>
        <w:tab/>
      </w:r>
      <w:r w:rsidRPr="005F6495">
        <w:rPr>
          <w:rFonts w:ascii="Garamond" w:hAnsi="Garamond" w:cstheme="minorHAnsi"/>
          <w:i/>
        </w:rPr>
        <w:tab/>
      </w:r>
      <w:r w:rsidRPr="005F6495">
        <w:rPr>
          <w:rFonts w:ascii="Garamond" w:hAnsi="Garamond" w:cstheme="minorHAnsi"/>
          <w:i/>
        </w:rPr>
        <w:tab/>
      </w:r>
      <w:r w:rsidRPr="005F6495">
        <w:rPr>
          <w:rFonts w:ascii="Garamond" w:hAnsi="Garamond" w:cstheme="minorHAnsi"/>
          <w:i/>
        </w:rPr>
        <w:tab/>
      </w:r>
      <w:r w:rsidRPr="005F6495">
        <w:rPr>
          <w:rFonts w:ascii="Garamond" w:hAnsi="Garamond" w:cstheme="minorHAnsi"/>
          <w:i/>
        </w:rPr>
        <w:tab/>
        <w:t xml:space="preserve">                     sito</w:t>
      </w:r>
      <w:r w:rsidRPr="005F6495">
        <w:rPr>
          <w:rFonts w:ascii="Garamond" w:hAnsi="Garamond" w:cstheme="minorHAnsi"/>
          <w:i/>
          <w:spacing w:val="-4"/>
        </w:rPr>
        <w:t xml:space="preserve"> </w:t>
      </w:r>
      <w:r w:rsidRPr="005F6495">
        <w:rPr>
          <w:rFonts w:ascii="Garamond" w:hAnsi="Garamond" w:cstheme="minorHAnsi"/>
          <w:i/>
        </w:rPr>
        <w:t>web:</w:t>
      </w:r>
      <w:r w:rsidRPr="005F6495">
        <w:rPr>
          <w:rFonts w:ascii="Garamond" w:hAnsi="Garamond" w:cstheme="minorHAnsi"/>
          <w:i/>
          <w:spacing w:val="-2"/>
        </w:rPr>
        <w:t xml:space="preserve"> </w:t>
      </w:r>
      <w:hyperlink r:id="rId11">
        <w:r w:rsidRPr="005F6495">
          <w:rPr>
            <w:rFonts w:ascii="Garamond" w:hAnsi="Garamond" w:cstheme="minorHAnsi"/>
            <w:i/>
            <w:color w:val="0000FF"/>
            <w:u w:val="single" w:color="0000FF"/>
          </w:rPr>
          <w:t>www.confagricoltura.it</w:t>
        </w:r>
      </w:hyperlink>
    </w:p>
    <w:p w14:paraId="796F80FE" w14:textId="050F373C" w:rsidR="00835A58" w:rsidRPr="00B6207E" w:rsidRDefault="00103476" w:rsidP="00B6207E">
      <w:pPr>
        <w:pStyle w:val="Corpotesto"/>
        <w:spacing w:line="276" w:lineRule="auto"/>
        <w:ind w:left="-28"/>
        <w:jc w:val="both"/>
        <w:rPr>
          <w:rFonts w:ascii="Aptos" w:hAnsi="Aptos" w:cstheme="minorHAnsi"/>
        </w:rPr>
      </w:pPr>
      <w:r w:rsidRPr="00B6207E">
        <w:rPr>
          <w:rFonts w:ascii="Aptos" w:hAnsi="Aptos" w:cstheme="minorHAnsi"/>
          <w:noProof/>
          <w:lang w:eastAsia="it-IT"/>
        </w:rPr>
        <mc:AlternateContent>
          <mc:Choice Requires="wpg">
            <w:drawing>
              <wp:inline distT="0" distB="0" distL="0" distR="0" wp14:anchorId="77E5C7E2" wp14:editId="6619C108">
                <wp:extent cx="6300470" cy="26035"/>
                <wp:effectExtent l="0" t="0" r="0" b="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6035"/>
                          <a:chOff x="0" y="0"/>
                          <a:chExt cx="9922" cy="41"/>
                        </a:xfrm>
                      </wpg:grpSpPr>
                      <wps:wsp>
                        <wps:cNvPr id="6" name="Rectangle 3"/>
                        <wps:cNvSpPr>
                          <a:spLocks noChangeArrowheads="1"/>
                        </wps:cNvSpPr>
                        <wps:spPr bwMode="auto">
                          <a:xfrm>
                            <a:off x="0" y="0"/>
                            <a:ext cx="9922" cy="41"/>
                          </a:xfrm>
                          <a:prstGeom prst="rect">
                            <a:avLst/>
                          </a:prstGeom>
                          <a:solidFill>
                            <a:srgbClr val="008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FD01F95" id="Group 2" o:spid="_x0000_s1026" style="width:496.1pt;height:2.05pt;mso-position-horizontal-relative:char;mso-position-vertical-relative:line" coordsize="99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">
                <v:rect id="Rectangle 3" o:spid="_x0000_s1027" style="position:absolute;width:9922;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" fillcolor="#00893d" stroked="f"/>
                <w10:anchorlock/>
              </v:group>
            </w:pict>
          </mc:Fallback>
        </mc:AlternateContent>
      </w:r>
    </w:p>
    <w:p w14:paraId="45B4793F" w14:textId="77777777" w:rsidR="00835A58" w:rsidRPr="00B6207E" w:rsidRDefault="00835A58" w:rsidP="00B6207E">
      <w:pPr>
        <w:pStyle w:val="Corpotesto"/>
        <w:spacing w:before="8" w:line="276" w:lineRule="auto"/>
        <w:jc w:val="both"/>
        <w:rPr>
          <w:rFonts w:ascii="Aptos" w:hAnsi="Aptos" w:cstheme="minorHAnsi"/>
          <w:i/>
        </w:rPr>
      </w:pPr>
    </w:p>
    <w:p w14:paraId="4C2143AD" w14:textId="2C60A47A" w:rsidR="00484965" w:rsidRPr="00535E21" w:rsidRDefault="00197FA0" w:rsidP="001E0FD4">
      <w:pPr>
        <w:pStyle w:val="Titolo1"/>
        <w:spacing w:line="276" w:lineRule="auto"/>
        <w:rPr>
          <w:rFonts w:ascii="Aptos" w:hAnsi="Aptos" w:cstheme="minorHAnsi"/>
          <w:b w:val="0"/>
          <w:bCs w:val="0"/>
          <w:i/>
          <w:iCs/>
          <w:sz w:val="24"/>
          <w:szCs w:val="24"/>
        </w:rPr>
      </w:pPr>
      <w:r w:rsidRPr="00535E21">
        <w:rPr>
          <w:rFonts w:ascii="Aptos" w:hAnsi="Aptos" w:cstheme="minorHAnsi"/>
          <w:i/>
          <w:iCs/>
          <w:sz w:val="24"/>
          <w:szCs w:val="24"/>
        </w:rPr>
        <w:t>Oggetto</w:t>
      </w:r>
      <w:r w:rsidRPr="00535E21">
        <w:rPr>
          <w:rFonts w:ascii="Aptos" w:hAnsi="Aptos" w:cstheme="minorHAnsi"/>
          <w:b w:val="0"/>
          <w:bCs w:val="0"/>
          <w:i/>
          <w:iCs/>
          <w:sz w:val="24"/>
          <w:szCs w:val="24"/>
        </w:rPr>
        <w:t>:</w:t>
      </w:r>
      <w:bookmarkStart w:id="2" w:name="_Hlk101260103"/>
      <w:r w:rsidR="001E5A1B" w:rsidRPr="00535E21">
        <w:rPr>
          <w:rFonts w:ascii="Aptos" w:hAnsi="Aptos" w:cstheme="minorHAnsi"/>
          <w:b w:val="0"/>
          <w:bCs w:val="0"/>
          <w:i/>
          <w:iCs/>
          <w:sz w:val="24"/>
          <w:szCs w:val="24"/>
        </w:rPr>
        <w:t xml:space="preserve"> </w:t>
      </w:r>
      <w:bookmarkStart w:id="3" w:name="_Hlk178325981"/>
      <w:bookmarkEnd w:id="2"/>
      <w:r w:rsidR="00470B5A" w:rsidRPr="00535E21">
        <w:rPr>
          <w:rFonts w:ascii="Aptos" w:hAnsi="Aptos" w:cstheme="minorHAnsi"/>
          <w:b w:val="0"/>
          <w:bCs w:val="0"/>
          <w:i/>
          <w:iCs/>
          <w:sz w:val="24"/>
          <w:szCs w:val="24"/>
        </w:rPr>
        <w:t>Affitto agrario: natura del rapporto e assistenza sindacale</w:t>
      </w:r>
      <w:r w:rsidR="00535E21">
        <w:rPr>
          <w:rFonts w:ascii="Aptos" w:hAnsi="Aptos" w:cstheme="minorHAnsi"/>
          <w:b w:val="0"/>
          <w:bCs w:val="0"/>
          <w:i/>
          <w:iCs/>
          <w:sz w:val="24"/>
          <w:szCs w:val="24"/>
        </w:rPr>
        <w:t>.</w:t>
      </w:r>
    </w:p>
    <w:p w14:paraId="7A1995B9" w14:textId="332E1E96" w:rsidR="004801D1" w:rsidRPr="00535E21" w:rsidRDefault="004801D1" w:rsidP="00484965">
      <w:pPr>
        <w:pStyle w:val="Titolo1"/>
        <w:spacing w:line="276" w:lineRule="auto"/>
        <w:jc w:val="both"/>
        <w:rPr>
          <w:rFonts w:ascii="Aptos" w:hAnsi="Aptos" w:cstheme="minorHAnsi"/>
          <w:b w:val="0"/>
          <w:bCs w:val="0"/>
          <w:i/>
          <w:iCs/>
          <w:sz w:val="24"/>
          <w:szCs w:val="24"/>
        </w:rPr>
      </w:pPr>
    </w:p>
    <w:p w14:paraId="2502E1AC" w14:textId="77777777" w:rsidR="00B6207E" w:rsidRPr="00535E21" w:rsidRDefault="00B6207E" w:rsidP="004801D1">
      <w:pPr>
        <w:pStyle w:val="Titolo1"/>
        <w:spacing w:line="276" w:lineRule="auto"/>
        <w:ind w:left="0"/>
        <w:jc w:val="both"/>
        <w:rPr>
          <w:rFonts w:ascii="Aptos" w:hAnsi="Aptos" w:cstheme="minorHAnsi"/>
          <w:b w:val="0"/>
          <w:bCs w:val="0"/>
          <w:sz w:val="24"/>
          <w:szCs w:val="24"/>
        </w:rPr>
      </w:pPr>
    </w:p>
    <w:bookmarkEnd w:id="3"/>
    <w:p w14:paraId="3872FD08" w14:textId="589C6D1E" w:rsidR="000D1587" w:rsidRPr="00535E21" w:rsidRDefault="00D2187D" w:rsidP="00B6207E">
      <w:pPr>
        <w:pStyle w:val="Titolo1"/>
        <w:spacing w:before="144" w:line="276" w:lineRule="auto"/>
        <w:ind w:right="6521"/>
        <w:jc w:val="both"/>
        <w:rPr>
          <w:rFonts w:ascii="Aptos" w:hAnsi="Aptos" w:cstheme="minorHAnsi"/>
          <w:b w:val="0"/>
          <w:bCs w:val="0"/>
          <w:i/>
          <w:iCs/>
          <w:sz w:val="24"/>
          <w:szCs w:val="24"/>
        </w:rPr>
      </w:pPr>
      <w:r w:rsidRPr="00535E21">
        <w:rPr>
          <w:rFonts w:ascii="Aptos" w:hAnsi="Aptos" w:cstheme="minorHAnsi"/>
          <w:b w:val="0"/>
          <w:bCs w:val="0"/>
          <w:i/>
          <w:iCs/>
          <w:sz w:val="24"/>
          <w:szCs w:val="24"/>
        </w:rPr>
        <w:t>(a cura di Giordana Campana)</w:t>
      </w:r>
    </w:p>
    <w:p w14:paraId="6A432E91" w14:textId="77777777" w:rsidR="00B6207E" w:rsidRPr="00535E21" w:rsidRDefault="00B6207E" w:rsidP="00B6207E">
      <w:pPr>
        <w:pStyle w:val="Titolo1"/>
        <w:spacing w:before="144" w:line="276" w:lineRule="auto"/>
        <w:ind w:right="6521"/>
        <w:jc w:val="both"/>
        <w:rPr>
          <w:rFonts w:ascii="Aptos" w:hAnsi="Aptos" w:cstheme="minorHAnsi"/>
          <w:b w:val="0"/>
          <w:bCs w:val="0"/>
          <w:i/>
          <w:iCs/>
          <w:sz w:val="24"/>
          <w:szCs w:val="24"/>
        </w:rPr>
      </w:pPr>
    </w:p>
    <w:p w14:paraId="6C1ACC0E" w14:textId="77777777" w:rsidR="00EF3604" w:rsidRPr="00535E21" w:rsidRDefault="00197FA0" w:rsidP="00EF3604">
      <w:pPr>
        <w:pStyle w:val="Corpotesto"/>
        <w:rPr>
          <w:rFonts w:ascii="Aptos" w:hAnsi="Aptos"/>
          <w:b/>
          <w:bCs/>
          <w:spacing w:val="1"/>
          <w:sz w:val="24"/>
          <w:szCs w:val="24"/>
        </w:rPr>
      </w:pPr>
      <w:r w:rsidRPr="00535E21">
        <w:rPr>
          <w:rFonts w:ascii="Aptos" w:hAnsi="Aptos"/>
          <w:b/>
          <w:bCs/>
          <w:sz w:val="24"/>
          <w:szCs w:val="24"/>
        </w:rPr>
        <w:t>Alle</w:t>
      </w:r>
      <w:r w:rsidRPr="00535E21">
        <w:rPr>
          <w:rFonts w:ascii="Aptos" w:hAnsi="Aptos"/>
          <w:b/>
          <w:bCs/>
          <w:spacing w:val="-2"/>
          <w:sz w:val="24"/>
          <w:szCs w:val="24"/>
        </w:rPr>
        <w:t xml:space="preserve"> </w:t>
      </w:r>
      <w:r w:rsidRPr="00535E21">
        <w:rPr>
          <w:rFonts w:ascii="Aptos" w:hAnsi="Aptos"/>
          <w:b/>
          <w:bCs/>
          <w:sz w:val="24"/>
          <w:szCs w:val="24"/>
        </w:rPr>
        <w:t>Unioni</w:t>
      </w:r>
      <w:r w:rsidRPr="00535E21">
        <w:rPr>
          <w:rFonts w:ascii="Aptos" w:hAnsi="Aptos"/>
          <w:b/>
          <w:bCs/>
          <w:spacing w:val="3"/>
          <w:sz w:val="24"/>
          <w:szCs w:val="24"/>
        </w:rPr>
        <w:t xml:space="preserve"> </w:t>
      </w:r>
      <w:r w:rsidRPr="00535E21">
        <w:rPr>
          <w:rFonts w:ascii="Aptos" w:hAnsi="Aptos"/>
          <w:b/>
          <w:bCs/>
          <w:sz w:val="24"/>
          <w:szCs w:val="24"/>
        </w:rPr>
        <w:t>Provinciali</w:t>
      </w:r>
      <w:r w:rsidRPr="00535E21">
        <w:rPr>
          <w:rFonts w:ascii="Aptos" w:hAnsi="Aptos"/>
          <w:b/>
          <w:bCs/>
          <w:spacing w:val="1"/>
          <w:sz w:val="24"/>
          <w:szCs w:val="24"/>
        </w:rPr>
        <w:t xml:space="preserve"> </w:t>
      </w:r>
      <w:r w:rsidRPr="00535E21">
        <w:rPr>
          <w:rFonts w:ascii="Aptos" w:hAnsi="Aptos"/>
          <w:b/>
          <w:bCs/>
          <w:sz w:val="24"/>
          <w:szCs w:val="24"/>
        </w:rPr>
        <w:t>Agricoltori</w:t>
      </w:r>
      <w:r w:rsidRPr="00535E21">
        <w:rPr>
          <w:rFonts w:ascii="Aptos" w:hAnsi="Aptos"/>
          <w:b/>
          <w:bCs/>
          <w:spacing w:val="1"/>
          <w:sz w:val="24"/>
          <w:szCs w:val="24"/>
        </w:rPr>
        <w:t xml:space="preserve"> </w:t>
      </w:r>
    </w:p>
    <w:p w14:paraId="4217ACD5" w14:textId="1864BFB2" w:rsidR="00837D35" w:rsidRPr="00535E21" w:rsidRDefault="00197FA0" w:rsidP="00EF3604">
      <w:pPr>
        <w:pStyle w:val="Corpotesto"/>
        <w:rPr>
          <w:rFonts w:ascii="Aptos" w:hAnsi="Aptos"/>
          <w:b/>
          <w:bCs/>
          <w:spacing w:val="-47"/>
          <w:sz w:val="24"/>
          <w:szCs w:val="24"/>
        </w:rPr>
      </w:pPr>
      <w:r w:rsidRPr="00535E21">
        <w:rPr>
          <w:rFonts w:ascii="Aptos" w:hAnsi="Aptos"/>
          <w:b/>
          <w:bCs/>
          <w:sz w:val="24"/>
          <w:szCs w:val="24"/>
        </w:rPr>
        <w:t>Alle Federazioni Regionali</w:t>
      </w:r>
      <w:r w:rsidR="00837D35" w:rsidRPr="00535E21">
        <w:rPr>
          <w:rFonts w:ascii="Aptos" w:hAnsi="Aptos"/>
          <w:b/>
          <w:bCs/>
          <w:sz w:val="24"/>
          <w:szCs w:val="24"/>
        </w:rPr>
        <w:t xml:space="preserve"> </w:t>
      </w:r>
      <w:r w:rsidRPr="00535E21">
        <w:rPr>
          <w:rFonts w:ascii="Aptos" w:hAnsi="Aptos"/>
          <w:b/>
          <w:bCs/>
          <w:sz w:val="24"/>
          <w:szCs w:val="24"/>
        </w:rPr>
        <w:t>Agricoltori</w:t>
      </w:r>
      <w:r w:rsidRPr="00535E21">
        <w:rPr>
          <w:rFonts w:ascii="Aptos" w:hAnsi="Aptos"/>
          <w:b/>
          <w:bCs/>
          <w:spacing w:val="-47"/>
          <w:sz w:val="24"/>
          <w:szCs w:val="24"/>
        </w:rPr>
        <w:t xml:space="preserve"> </w:t>
      </w:r>
    </w:p>
    <w:p w14:paraId="07573767" w14:textId="4B0CB8BB" w:rsidR="00835A58" w:rsidRPr="00535E21" w:rsidRDefault="00197FA0" w:rsidP="00EF3604">
      <w:pPr>
        <w:pStyle w:val="Corpotesto"/>
        <w:rPr>
          <w:rFonts w:ascii="Aptos" w:hAnsi="Aptos"/>
          <w:b/>
          <w:bCs/>
          <w:sz w:val="24"/>
          <w:szCs w:val="24"/>
        </w:rPr>
      </w:pPr>
      <w:r w:rsidRPr="00535E21">
        <w:rPr>
          <w:rFonts w:ascii="Aptos" w:hAnsi="Aptos"/>
          <w:b/>
          <w:bCs/>
          <w:sz w:val="24"/>
          <w:szCs w:val="24"/>
        </w:rPr>
        <w:t>Loro</w:t>
      </w:r>
      <w:r w:rsidRPr="00535E21">
        <w:rPr>
          <w:rFonts w:ascii="Aptos" w:hAnsi="Aptos"/>
          <w:b/>
          <w:bCs/>
          <w:spacing w:val="-1"/>
          <w:sz w:val="24"/>
          <w:szCs w:val="24"/>
        </w:rPr>
        <w:t xml:space="preserve"> </w:t>
      </w:r>
      <w:r w:rsidRPr="00535E21">
        <w:rPr>
          <w:rFonts w:ascii="Aptos" w:hAnsi="Aptos"/>
          <w:b/>
          <w:bCs/>
          <w:sz w:val="24"/>
          <w:szCs w:val="24"/>
        </w:rPr>
        <w:t>Sedi</w:t>
      </w:r>
    </w:p>
    <w:p w14:paraId="395CEF02" w14:textId="2B16C04D" w:rsidR="00BF2E7F" w:rsidRPr="00535E21" w:rsidRDefault="00BF2E7F" w:rsidP="00EF3604">
      <w:pPr>
        <w:pStyle w:val="Corpotesto"/>
        <w:rPr>
          <w:rFonts w:ascii="Aptos" w:hAnsi="Aptos"/>
          <w:sz w:val="24"/>
          <w:szCs w:val="24"/>
        </w:rPr>
      </w:pPr>
    </w:p>
    <w:p w14:paraId="003BA1E5" w14:textId="77777777" w:rsidR="00EF3604" w:rsidRPr="00535E21" w:rsidRDefault="00EF3604" w:rsidP="00EF3604">
      <w:pPr>
        <w:pStyle w:val="Corpotesto"/>
        <w:rPr>
          <w:rFonts w:ascii="Aptos" w:hAnsi="Aptos"/>
          <w:sz w:val="24"/>
          <w:szCs w:val="24"/>
        </w:rPr>
      </w:pPr>
    </w:p>
    <w:p w14:paraId="6F7084B9" w14:textId="77777777" w:rsidR="00484965" w:rsidRPr="00535E21" w:rsidRDefault="00484965" w:rsidP="00EF3604">
      <w:pPr>
        <w:pStyle w:val="Corpotesto"/>
        <w:rPr>
          <w:rFonts w:ascii="Aptos" w:hAnsi="Aptos"/>
          <w:sz w:val="24"/>
          <w:szCs w:val="24"/>
        </w:rPr>
      </w:pPr>
    </w:p>
    <w:p w14:paraId="107B601D" w14:textId="697C7BC4" w:rsidR="001E0FD4" w:rsidRP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 xml:space="preserve">Con l’ordinanza n. 19483 del 12 giugno 2026 la Corte di </w:t>
      </w:r>
      <w:r w:rsidR="00ED45FC" w:rsidRPr="00535E21">
        <w:rPr>
          <w:rFonts w:ascii="Aptos" w:hAnsi="Aptos" w:cstheme="minorHAnsi"/>
          <w:sz w:val="24"/>
          <w:szCs w:val="24"/>
        </w:rPr>
        <w:t>C</w:t>
      </w:r>
      <w:r w:rsidRPr="00535E21">
        <w:rPr>
          <w:rFonts w:ascii="Aptos" w:hAnsi="Aptos" w:cstheme="minorHAnsi"/>
          <w:sz w:val="24"/>
          <w:szCs w:val="24"/>
        </w:rPr>
        <w:t xml:space="preserve">assazione affronta una pluralità di questioni di particolare interesse nell’ambito dei contratti agrari, fornendo una ricostruzione organica dei rapporti tra qualificazione del contratto, competenza della Sezione Specializzata Agraria, validità degli accordi in deroga assistiti ai sensi dell’art. 45 della legge n. 203 del 1982 e regime delle preclusioni processuali proprie del rito agrario. </w:t>
      </w:r>
    </w:p>
    <w:p w14:paraId="2BE3B7B1" w14:textId="77777777" w:rsidR="00ED45FC" w:rsidRPr="00535E21" w:rsidRDefault="00ED45FC" w:rsidP="00EF3604">
      <w:pPr>
        <w:spacing w:line="360" w:lineRule="auto"/>
        <w:jc w:val="both"/>
        <w:rPr>
          <w:rFonts w:ascii="Aptos" w:hAnsi="Aptos" w:cstheme="minorHAnsi"/>
          <w:sz w:val="24"/>
          <w:szCs w:val="24"/>
        </w:rPr>
      </w:pPr>
    </w:p>
    <w:p w14:paraId="77839AE9" w14:textId="77777777" w:rsid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 xml:space="preserve">La controversia trae origine da un contratto di affitto avente ad oggetto un fondo rustico con annessi fabbricati, stipulato con l’assistenza delle rispettive organizzazioni professionali agricole. La concedente, lamentando il protratto inadempimento dell’affittuario e la mancata restituzione del fondo alla scadenza pattuita, aveva adito la Sezione Specializzata Agraria chiedendo la risoluzione del contratto per morosità, il rilascio del bene e la condanna al pagamento dei canoni arretrati nonché dell’indennità dovuta per la successiva occupazione. L’affittuario si era costituito soltanto il giorno precedente all’udienza di discussione, sostenendo che il rapporto non avesse natura agraria ma dovesse essere qualificato come ordinaria locazione immobiliare e deducendo inoltre una serie di presunti inadempimenti della concedente, consistenti in carenze strutturali degli immobili e nell’interruzione della fornitura di energia elettrica. Tali difese erano state ritenute </w:t>
      </w:r>
    </w:p>
    <w:p w14:paraId="7D8260B6" w14:textId="77777777" w:rsidR="00535E21" w:rsidRDefault="00535E21" w:rsidP="00EF3604">
      <w:pPr>
        <w:spacing w:line="360" w:lineRule="auto"/>
        <w:jc w:val="both"/>
        <w:rPr>
          <w:rFonts w:ascii="Aptos" w:hAnsi="Aptos" w:cstheme="minorHAnsi"/>
          <w:sz w:val="24"/>
          <w:szCs w:val="24"/>
        </w:rPr>
      </w:pPr>
    </w:p>
    <w:p w14:paraId="5DDD9ACF" w14:textId="77777777" w:rsidR="00535E21" w:rsidRDefault="00535E21" w:rsidP="00EF3604">
      <w:pPr>
        <w:spacing w:line="360" w:lineRule="auto"/>
        <w:jc w:val="both"/>
        <w:rPr>
          <w:rFonts w:ascii="Aptos" w:hAnsi="Aptos" w:cstheme="minorHAnsi"/>
          <w:sz w:val="24"/>
          <w:szCs w:val="24"/>
        </w:rPr>
      </w:pPr>
    </w:p>
    <w:p w14:paraId="34743404" w14:textId="77777777" w:rsidR="00535E21" w:rsidRDefault="00535E21" w:rsidP="00EF3604">
      <w:pPr>
        <w:spacing w:line="360" w:lineRule="auto"/>
        <w:jc w:val="both"/>
        <w:rPr>
          <w:rFonts w:ascii="Aptos" w:hAnsi="Aptos" w:cstheme="minorHAnsi"/>
          <w:sz w:val="24"/>
          <w:szCs w:val="24"/>
        </w:rPr>
      </w:pPr>
    </w:p>
    <w:p w14:paraId="371952F7" w14:textId="1988E98B" w:rsidR="001E0FD4" w:rsidRP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tardive sia dal Tribunale sia dalla Corte d’appello, che avevano confermato la qualificazione agraria del rapporto e dichiarato la risoluzione del contratto per morosità. Investita della questione, la Corte di cassazione ha integralmente rigettato il ricorso dell’affittuario, riaffermando alcuni principi destinati ad assumere particolare rilevanza applicativa.</w:t>
      </w:r>
    </w:p>
    <w:p w14:paraId="2AB14B15" w14:textId="77777777" w:rsidR="00535E21" w:rsidRDefault="00535E21" w:rsidP="00EF3604">
      <w:pPr>
        <w:spacing w:line="360" w:lineRule="auto"/>
        <w:jc w:val="both"/>
        <w:rPr>
          <w:rFonts w:ascii="Aptos" w:hAnsi="Aptos" w:cstheme="minorHAnsi"/>
          <w:sz w:val="24"/>
          <w:szCs w:val="24"/>
        </w:rPr>
      </w:pPr>
    </w:p>
    <w:p w14:paraId="619098F5" w14:textId="1DBB04BB" w:rsidR="001E0FD4" w:rsidRP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 xml:space="preserve">Uno degli aspetti centrali della decisione riguarda la qualificazione del rapporto. La Suprema Corte ribadisce che </w:t>
      </w:r>
      <w:r w:rsidRPr="00535E21">
        <w:rPr>
          <w:rFonts w:ascii="Aptos" w:hAnsi="Aptos" w:cstheme="minorHAnsi"/>
          <w:i/>
          <w:iCs/>
          <w:sz w:val="24"/>
          <w:szCs w:val="24"/>
        </w:rPr>
        <w:t>la natura agraria del contratto deve essere individuata sulla base del titolo negoziale e dell’oggetto del rapporto, ossia della funzione economico-sociale che le parti hanno inteso attribuire al contratto al momento della sua stipulazione</w:t>
      </w:r>
      <w:r w:rsidRPr="00535E21">
        <w:rPr>
          <w:rFonts w:ascii="Aptos" w:hAnsi="Aptos" w:cstheme="minorHAnsi"/>
          <w:sz w:val="24"/>
          <w:szCs w:val="24"/>
        </w:rPr>
        <w:t>. Da tale impostazione deriva che l’utilizzazione concreta del fondo successivamente posta in essere dall’affittuario non può assumere efficacia modificativa della natura giuridica del rapporto quando si tratti di una scelta unilaterale non condivisa dalla controparte. In altri termini, l’eventuale destinazione del fondo a finalità diverse da quelle agricole non è idonea a trasformare un contratto di affitto agrario in una locazione ordinaria né può incidere sul riparto di competenza stabilito dall’ordinamento. La Corte osserva infatti che ammettere una simile conseguenza significherebbe attribuire ad una condotta unilaterale il potere di alterare il contenuto del contratto e di modificare retroattivamente il giudice competente a conoscere delle controversie derivanti dal rapporto. Ne consegue che la competenza della Sezione Specializzata Agraria resta radicata ogniqualvolta il contratto sia stato originariamente stipulato come affitto di fondo rustico e presenti i requisiti oggettivi e funzionali propri della disciplina agraria.</w:t>
      </w:r>
    </w:p>
    <w:p w14:paraId="6DFBA072" w14:textId="77777777" w:rsidR="00ED45FC" w:rsidRPr="00535E21" w:rsidRDefault="00ED45FC" w:rsidP="00EF3604">
      <w:pPr>
        <w:spacing w:line="360" w:lineRule="auto"/>
        <w:jc w:val="both"/>
        <w:rPr>
          <w:rFonts w:ascii="Aptos" w:hAnsi="Aptos" w:cstheme="minorHAnsi"/>
          <w:sz w:val="24"/>
          <w:szCs w:val="24"/>
        </w:rPr>
      </w:pPr>
    </w:p>
    <w:p w14:paraId="2CBA8605" w14:textId="77777777" w:rsid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 xml:space="preserve">La decisione assume particolare rilievo anche sul piano processuale, poiché richiama e valorizza il rigoroso sistema di preclusioni che caratterizza il rito agrario. Come noto, tale rito presenta una struttura sostanzialmente assimilabile a quella del rito del lavoro e si fonda sul principio della concentrazione delle difese e della tempestiva definizione del </w:t>
      </w:r>
      <w:proofErr w:type="spellStart"/>
      <w:r w:rsidRPr="00535E21">
        <w:rPr>
          <w:rFonts w:ascii="Aptos" w:hAnsi="Aptos" w:cstheme="minorHAnsi"/>
          <w:i/>
          <w:iCs/>
          <w:sz w:val="24"/>
          <w:szCs w:val="24"/>
        </w:rPr>
        <w:t>thema</w:t>
      </w:r>
      <w:proofErr w:type="spellEnd"/>
      <w:r w:rsidRPr="00535E21">
        <w:rPr>
          <w:rFonts w:ascii="Aptos" w:hAnsi="Aptos" w:cstheme="minorHAnsi"/>
          <w:i/>
          <w:iCs/>
          <w:sz w:val="24"/>
          <w:szCs w:val="24"/>
        </w:rPr>
        <w:t xml:space="preserve"> </w:t>
      </w:r>
      <w:proofErr w:type="spellStart"/>
      <w:r w:rsidRPr="00535E21">
        <w:rPr>
          <w:rFonts w:ascii="Aptos" w:hAnsi="Aptos" w:cstheme="minorHAnsi"/>
          <w:i/>
          <w:iCs/>
          <w:sz w:val="24"/>
          <w:szCs w:val="24"/>
        </w:rPr>
        <w:t>decidendum</w:t>
      </w:r>
      <w:proofErr w:type="spellEnd"/>
      <w:r w:rsidRPr="00535E21">
        <w:rPr>
          <w:rFonts w:ascii="Aptos" w:hAnsi="Aptos" w:cstheme="minorHAnsi"/>
          <w:sz w:val="24"/>
          <w:szCs w:val="24"/>
        </w:rPr>
        <w:t xml:space="preserve">. In applicazione dell’art. 416 c.p.c., il convenuto è tenuto a costituirsi nei termini di legge e a formulare immediatamente tutte le eccezioni processuali e di merito non rilevabili d’ufficio, nonché le eventuali domande riconvenzionali. La tardiva costituzione comporta una decadenza automatica e definitiva che impedisce l’introduzione nel giudizio di questioni nuove. Nel caso esaminato dalla Cassazione, la costituzione intervenuta soltanto il giorno precedente all’udienza ha determinato </w:t>
      </w:r>
    </w:p>
    <w:p w14:paraId="3EAFA66A" w14:textId="77777777" w:rsidR="00535E21" w:rsidRDefault="00535E21" w:rsidP="00EF3604">
      <w:pPr>
        <w:spacing w:line="360" w:lineRule="auto"/>
        <w:jc w:val="both"/>
        <w:rPr>
          <w:rFonts w:ascii="Aptos" w:hAnsi="Aptos" w:cstheme="minorHAnsi"/>
          <w:sz w:val="24"/>
          <w:szCs w:val="24"/>
        </w:rPr>
      </w:pPr>
    </w:p>
    <w:p w14:paraId="76F854DD" w14:textId="77777777" w:rsidR="00535E21" w:rsidRDefault="00535E21" w:rsidP="00EF3604">
      <w:pPr>
        <w:spacing w:line="360" w:lineRule="auto"/>
        <w:jc w:val="both"/>
        <w:rPr>
          <w:rFonts w:ascii="Aptos" w:hAnsi="Aptos" w:cstheme="minorHAnsi"/>
          <w:sz w:val="24"/>
          <w:szCs w:val="24"/>
        </w:rPr>
      </w:pPr>
    </w:p>
    <w:p w14:paraId="3E69661F" w14:textId="77777777" w:rsidR="00535E21" w:rsidRDefault="00535E21" w:rsidP="00EF3604">
      <w:pPr>
        <w:spacing w:line="360" w:lineRule="auto"/>
        <w:jc w:val="both"/>
        <w:rPr>
          <w:rFonts w:ascii="Aptos" w:hAnsi="Aptos" w:cstheme="minorHAnsi"/>
          <w:sz w:val="24"/>
          <w:szCs w:val="24"/>
        </w:rPr>
      </w:pPr>
    </w:p>
    <w:p w14:paraId="0348D6EF" w14:textId="2FDCA317" w:rsidR="001E0FD4" w:rsidRP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la perdita del potere di contestare la natura agraria del rapporto, di dedurre l’inadempimento della concedente e di sollevare qualsiasi altra eccezione rimessa all’iniziativa della parte. La Corte sottolinea inoltre che tale preclusione trova ulteriore conferma nell’art. 437 c.p.c., il quale impedisce l’introduzione in appello di eccezioni nuove non tempestivamente formulate nel giudizio di primo grado. La pronuncia conferma pertanto che il mancato rispetto dei termini processuali può incidere in modo decisivo sull’esito della controversia, impedendo alla parte di introdurre questioni che, se dedotte tempestivamente, avrebbero potuto essere oggetto di esame nel merito.</w:t>
      </w:r>
    </w:p>
    <w:p w14:paraId="7D62B2DD" w14:textId="77777777" w:rsidR="001E0FD4" w:rsidRPr="00535E21" w:rsidRDefault="001E0FD4" w:rsidP="00EF3604">
      <w:pPr>
        <w:spacing w:line="360" w:lineRule="auto"/>
        <w:jc w:val="both"/>
        <w:rPr>
          <w:rFonts w:ascii="Aptos" w:hAnsi="Aptos" w:cstheme="minorHAnsi"/>
          <w:sz w:val="24"/>
          <w:szCs w:val="24"/>
        </w:rPr>
      </w:pPr>
    </w:p>
    <w:p w14:paraId="2D2BB5FF" w14:textId="77777777" w:rsidR="00EF3604" w:rsidRP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 xml:space="preserve">Particolarmente significativa è poi la parte della decisione dedicata agli accordi in deroga disciplinati dall’art. 45 della legge n. 203 del 1982. Sul punto la Corte si inserisce in un filone interpretativo ormai consolidato che attribuisce all’assistenza delle organizzazioni professionali agricole una funzione essenziale di garanzia e di tutela della consapevolezza negoziale delle parti. </w:t>
      </w:r>
    </w:p>
    <w:p w14:paraId="58208570" w14:textId="77777777" w:rsidR="00EF3604" w:rsidRPr="00535E21" w:rsidRDefault="00EF3604" w:rsidP="00EF3604">
      <w:pPr>
        <w:spacing w:line="360" w:lineRule="auto"/>
        <w:jc w:val="both"/>
        <w:rPr>
          <w:rFonts w:ascii="Aptos" w:hAnsi="Aptos" w:cstheme="minorHAnsi"/>
          <w:sz w:val="24"/>
          <w:szCs w:val="24"/>
        </w:rPr>
      </w:pPr>
    </w:p>
    <w:p w14:paraId="1C6A3FD4" w14:textId="00F1D261" w:rsidR="001E0FD4"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La normativa consente infatti di derogare alla disciplina legale dei contratti agrari purché l’accordo sia concluso con l’assistenza delle organizzazioni professionali maggiormente rappresentative. Tale assistenza, come più volte chiarito dalla giurisprudenza di legittimità, non può ridursi ad una mera presenza formale al momento della sottoscrizione del contratto, ma deve tradursi in un’effettiva attività di consulenza e di indirizzo, idonea a chiarire alle parti il contenuto e le conseguenze delle clausole che si discostano dal regime legale. In questo senso si erano già espresse la Cassazione con l’ordinanza n. 17195 del 15 giugno 2023 e successivamente con l’ordinanza n. 22322 del 2 agosto 2025, nelle quali è stato affermato che l’assistenza sindacale richiesta dall’art. 45 presuppone una reale attività informativa e consultiva finalizzata a consentire una stipulazione pienamente consapevole dell’accordo derogatorio. Una volta accertata la presenza di tale attività, la sottoscrizione del contratto da parte dei contraenti e dei rispettivi rappresentanti sindacali costituisce elemento sufficiente a dimostrare la validità dell’accordo.</w:t>
      </w:r>
    </w:p>
    <w:p w14:paraId="761DFB8D" w14:textId="77777777" w:rsidR="00535E21" w:rsidRPr="00535E21" w:rsidRDefault="00535E21" w:rsidP="00EF3604">
      <w:pPr>
        <w:spacing w:line="360" w:lineRule="auto"/>
        <w:jc w:val="both"/>
        <w:rPr>
          <w:rFonts w:ascii="Aptos" w:hAnsi="Aptos" w:cstheme="minorHAnsi"/>
          <w:sz w:val="24"/>
          <w:szCs w:val="24"/>
        </w:rPr>
      </w:pPr>
    </w:p>
    <w:p w14:paraId="2BBDFD4C" w14:textId="77777777" w:rsidR="00535E21" w:rsidRDefault="001E0FD4" w:rsidP="00EF3604">
      <w:pPr>
        <w:spacing w:line="360" w:lineRule="auto"/>
        <w:jc w:val="both"/>
        <w:rPr>
          <w:rFonts w:ascii="Aptos" w:hAnsi="Aptos" w:cstheme="minorHAnsi"/>
          <w:sz w:val="24"/>
          <w:szCs w:val="24"/>
          <w:u w:val="single"/>
        </w:rPr>
      </w:pPr>
      <w:r w:rsidRPr="00535E21">
        <w:rPr>
          <w:rFonts w:ascii="Aptos" w:hAnsi="Aptos" w:cstheme="minorHAnsi"/>
          <w:sz w:val="24"/>
          <w:szCs w:val="24"/>
        </w:rPr>
        <w:t xml:space="preserve">L’ordinanza n. 19483 del 2026 sviluppa ulteriormente tale orientamento affrontando il tema dell’efficacia probatoria delle attestazioni contenute nel contratto. La Corte afferma infatti che </w:t>
      </w:r>
      <w:r w:rsidRPr="00535E21">
        <w:rPr>
          <w:rFonts w:ascii="Aptos" w:hAnsi="Aptos" w:cstheme="minorHAnsi"/>
          <w:sz w:val="24"/>
          <w:szCs w:val="24"/>
          <w:u w:val="single"/>
        </w:rPr>
        <w:t xml:space="preserve">la dichiarazione con la quale le parti attestano di essere state ritualmente assistite dalle rispettive organizzazioni professionali agricole possiede un valore probatorio particolarmente intenso e non </w:t>
      </w:r>
    </w:p>
    <w:p w14:paraId="65D5D629" w14:textId="77777777" w:rsidR="00535E21" w:rsidRDefault="00535E21" w:rsidP="00EF3604">
      <w:pPr>
        <w:spacing w:line="360" w:lineRule="auto"/>
        <w:jc w:val="both"/>
        <w:rPr>
          <w:rFonts w:ascii="Aptos" w:hAnsi="Aptos" w:cstheme="minorHAnsi"/>
          <w:sz w:val="24"/>
          <w:szCs w:val="24"/>
          <w:u w:val="single"/>
        </w:rPr>
      </w:pPr>
    </w:p>
    <w:p w14:paraId="450197CA" w14:textId="77777777" w:rsidR="00535E21" w:rsidRDefault="00535E21" w:rsidP="00EF3604">
      <w:pPr>
        <w:spacing w:line="360" w:lineRule="auto"/>
        <w:jc w:val="both"/>
        <w:rPr>
          <w:rFonts w:ascii="Aptos" w:hAnsi="Aptos" w:cstheme="minorHAnsi"/>
          <w:sz w:val="24"/>
          <w:szCs w:val="24"/>
          <w:u w:val="single"/>
        </w:rPr>
      </w:pPr>
    </w:p>
    <w:p w14:paraId="331F79EA" w14:textId="5785D9CE" w:rsidR="001E0FD4" w:rsidRP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u w:val="single"/>
        </w:rPr>
        <w:t>può essere neutralizzata attraverso semplici contestazioni difensive o mediante la richiesta di prove testimoniali dirette a dimostrare una presunta assenza di assistenza effettiva.</w:t>
      </w:r>
      <w:r w:rsidRPr="00535E21">
        <w:rPr>
          <w:rFonts w:ascii="Aptos" w:hAnsi="Aptos" w:cstheme="minorHAnsi"/>
          <w:sz w:val="24"/>
          <w:szCs w:val="24"/>
        </w:rPr>
        <w:t xml:space="preserve"> Sul punto la decisione richiama espressamente principi già affermati dalla giurisprudenza di legittimità, secondo cui il documento negoziale sottoscritto dai contraenti e dai rispettivi rappresentanti sindacali conserva piena efficacia probatoria fino a quando non venga formalmente rimosso attraverso gli strumenti tipici previsti dall’ordinamento. In particolare, la parte che intenda contestare la veridicità delle attestazioni contenute nel contratto è tenuta a proporre un’apposita azione di annullamento per vizi della volontà oppure, ove ne ricorrano i presupposti, una querela di falso. In assenza di tali iniziative, non è consentito introdurre prove orali finalizzate esclusivamente a dimostrare che quanto attestato nel documento non corrisponde al vero. Anche sotto questo profilo la pronuncia si pone in linea di continuità con quanto già affermato dalla Cassazione nell’ordinanza n. 17195 del 2023, che aveva escluso la possibilità di superare l’efficacia probatoria dell’accordo assistito mediante mere allegazioni testimoniali.</w:t>
      </w:r>
    </w:p>
    <w:p w14:paraId="56242D19" w14:textId="77777777" w:rsidR="00DF4311" w:rsidRPr="00535E21" w:rsidRDefault="00DF4311" w:rsidP="00EF3604">
      <w:pPr>
        <w:spacing w:line="360" w:lineRule="auto"/>
        <w:jc w:val="both"/>
        <w:rPr>
          <w:rFonts w:ascii="Aptos" w:hAnsi="Aptos" w:cstheme="minorHAnsi"/>
          <w:sz w:val="24"/>
          <w:szCs w:val="24"/>
        </w:rPr>
      </w:pPr>
    </w:p>
    <w:p w14:paraId="4DAF70E1" w14:textId="77777777" w:rsidR="00EF3604" w:rsidRP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 xml:space="preserve">La Corte affronta inoltre la questione relativa all’eccezione di inadempimento invocata dall’affittuario per giustificare il mancato pagamento dei canoni. Sul punto viene ribadito il </w:t>
      </w:r>
      <w:r w:rsidRPr="00535E21">
        <w:rPr>
          <w:rFonts w:ascii="Aptos" w:hAnsi="Aptos" w:cstheme="minorHAnsi"/>
          <w:sz w:val="24"/>
          <w:szCs w:val="24"/>
          <w:u w:val="single"/>
        </w:rPr>
        <w:t>principio secondo cui la sospensione totale della prestazione non può essere considerata legittima quando il contraente continui a beneficiare della controprestazione</w:t>
      </w:r>
      <w:r w:rsidRPr="00535E21">
        <w:rPr>
          <w:rFonts w:ascii="Aptos" w:hAnsi="Aptos" w:cstheme="minorHAnsi"/>
          <w:sz w:val="24"/>
          <w:szCs w:val="24"/>
        </w:rPr>
        <w:t xml:space="preserve">. Nel caso concreto è stato accertato che l’affittuario aveva mantenuto il godimento del fondo e dei fabbricati sia durante il rapporto sia successivamente alla sua scadenza. In tale situazione la totale sospensione del pagamento dei canoni è stata ritenuta incompatibile con il principio di buona fede e con il necessario equilibrio sinallagmatico che governa il rapporto contrattuale. </w:t>
      </w:r>
    </w:p>
    <w:p w14:paraId="52942539" w14:textId="77777777" w:rsidR="00EF3604" w:rsidRPr="00535E21" w:rsidRDefault="00EF3604" w:rsidP="00EF3604">
      <w:pPr>
        <w:spacing w:line="360" w:lineRule="auto"/>
        <w:jc w:val="both"/>
        <w:rPr>
          <w:rFonts w:ascii="Aptos" w:hAnsi="Aptos" w:cstheme="minorHAnsi"/>
          <w:sz w:val="24"/>
          <w:szCs w:val="24"/>
        </w:rPr>
      </w:pPr>
    </w:p>
    <w:p w14:paraId="5994E4F1" w14:textId="75E0F7ED" w:rsidR="001E0FD4" w:rsidRP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La Cassazione osserva altresì che le deduzioni concernenti il distacco dell’energia elettrica e la presenza di amianto erano state formulate tardivamente e risultavano comunque prive di adeguato supporto probatorio, circostanza che ne impediva ogni valutazione nel merito.</w:t>
      </w:r>
    </w:p>
    <w:p w14:paraId="5328283B" w14:textId="77777777" w:rsidR="00DF4311" w:rsidRPr="00535E21" w:rsidRDefault="00DF4311" w:rsidP="00EF3604">
      <w:pPr>
        <w:spacing w:line="360" w:lineRule="auto"/>
        <w:jc w:val="both"/>
        <w:rPr>
          <w:rFonts w:ascii="Aptos" w:hAnsi="Aptos" w:cstheme="minorHAnsi"/>
          <w:sz w:val="24"/>
          <w:szCs w:val="24"/>
        </w:rPr>
      </w:pPr>
    </w:p>
    <w:p w14:paraId="598B26C0" w14:textId="2D008A3F" w:rsid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 xml:space="preserve">Da ultimo, la Suprema Corte si sofferma sulla questione della legittimazione ad agire in presenza di una comunione sul fondo concesso in affitto. L’affittuario sosteneva che l’azione di risoluzione avrebbe </w:t>
      </w:r>
      <w:r w:rsidR="00535E21">
        <w:rPr>
          <w:rFonts w:ascii="Aptos" w:hAnsi="Aptos" w:cstheme="minorHAnsi"/>
          <w:sz w:val="24"/>
          <w:szCs w:val="24"/>
        </w:rPr>
        <w:t xml:space="preserve">  </w:t>
      </w:r>
      <w:r w:rsidRPr="00535E21">
        <w:rPr>
          <w:rFonts w:ascii="Aptos" w:hAnsi="Aptos" w:cstheme="minorHAnsi"/>
          <w:sz w:val="24"/>
          <w:szCs w:val="24"/>
        </w:rPr>
        <w:t xml:space="preserve">dovuto </w:t>
      </w:r>
      <w:r w:rsidR="00535E21">
        <w:rPr>
          <w:rFonts w:ascii="Aptos" w:hAnsi="Aptos" w:cstheme="minorHAnsi"/>
          <w:sz w:val="24"/>
          <w:szCs w:val="24"/>
        </w:rPr>
        <w:t xml:space="preserve">  </w:t>
      </w:r>
      <w:r w:rsidRPr="00535E21">
        <w:rPr>
          <w:rFonts w:ascii="Aptos" w:hAnsi="Aptos" w:cstheme="minorHAnsi"/>
          <w:sz w:val="24"/>
          <w:szCs w:val="24"/>
        </w:rPr>
        <w:t xml:space="preserve">essere </w:t>
      </w:r>
      <w:r w:rsidR="00535E21">
        <w:rPr>
          <w:rFonts w:ascii="Aptos" w:hAnsi="Aptos" w:cstheme="minorHAnsi"/>
          <w:sz w:val="24"/>
          <w:szCs w:val="24"/>
        </w:rPr>
        <w:t xml:space="preserve">  </w:t>
      </w:r>
      <w:r w:rsidRPr="00535E21">
        <w:rPr>
          <w:rFonts w:ascii="Aptos" w:hAnsi="Aptos" w:cstheme="minorHAnsi"/>
          <w:sz w:val="24"/>
          <w:szCs w:val="24"/>
        </w:rPr>
        <w:t xml:space="preserve">proposta </w:t>
      </w:r>
      <w:r w:rsidR="00535E21">
        <w:rPr>
          <w:rFonts w:ascii="Aptos" w:hAnsi="Aptos" w:cstheme="minorHAnsi"/>
          <w:sz w:val="24"/>
          <w:szCs w:val="24"/>
        </w:rPr>
        <w:t xml:space="preserve">  </w:t>
      </w:r>
      <w:r w:rsidRPr="00535E21">
        <w:rPr>
          <w:rFonts w:ascii="Aptos" w:hAnsi="Aptos" w:cstheme="minorHAnsi"/>
          <w:sz w:val="24"/>
          <w:szCs w:val="24"/>
        </w:rPr>
        <w:t xml:space="preserve">da </w:t>
      </w:r>
      <w:r w:rsidR="00535E21">
        <w:rPr>
          <w:rFonts w:ascii="Aptos" w:hAnsi="Aptos" w:cstheme="minorHAnsi"/>
          <w:sz w:val="24"/>
          <w:szCs w:val="24"/>
        </w:rPr>
        <w:t xml:space="preserve">  </w:t>
      </w:r>
      <w:r w:rsidRPr="00535E21">
        <w:rPr>
          <w:rFonts w:ascii="Aptos" w:hAnsi="Aptos" w:cstheme="minorHAnsi"/>
          <w:sz w:val="24"/>
          <w:szCs w:val="24"/>
        </w:rPr>
        <w:t xml:space="preserve">tutti i </w:t>
      </w:r>
      <w:r w:rsidR="00535E21">
        <w:rPr>
          <w:rFonts w:ascii="Aptos" w:hAnsi="Aptos" w:cstheme="minorHAnsi"/>
          <w:sz w:val="24"/>
          <w:szCs w:val="24"/>
        </w:rPr>
        <w:t xml:space="preserve">  </w:t>
      </w:r>
      <w:r w:rsidRPr="00535E21">
        <w:rPr>
          <w:rFonts w:ascii="Aptos" w:hAnsi="Aptos" w:cstheme="minorHAnsi"/>
          <w:sz w:val="24"/>
          <w:szCs w:val="24"/>
        </w:rPr>
        <w:t xml:space="preserve">comproprietari, </w:t>
      </w:r>
      <w:r w:rsidR="00535E21">
        <w:rPr>
          <w:rFonts w:ascii="Aptos" w:hAnsi="Aptos" w:cstheme="minorHAnsi"/>
          <w:sz w:val="24"/>
          <w:szCs w:val="24"/>
        </w:rPr>
        <w:t xml:space="preserve">  </w:t>
      </w:r>
      <w:r w:rsidRPr="00535E21">
        <w:rPr>
          <w:rFonts w:ascii="Aptos" w:hAnsi="Aptos" w:cstheme="minorHAnsi"/>
          <w:sz w:val="24"/>
          <w:szCs w:val="24"/>
        </w:rPr>
        <w:t xml:space="preserve">configurandosi </w:t>
      </w:r>
      <w:r w:rsidR="00535E21">
        <w:rPr>
          <w:rFonts w:ascii="Aptos" w:hAnsi="Aptos" w:cstheme="minorHAnsi"/>
          <w:sz w:val="24"/>
          <w:szCs w:val="24"/>
        </w:rPr>
        <w:t xml:space="preserve">  </w:t>
      </w:r>
      <w:r w:rsidRPr="00535E21">
        <w:rPr>
          <w:rFonts w:ascii="Aptos" w:hAnsi="Aptos" w:cstheme="minorHAnsi"/>
          <w:sz w:val="24"/>
          <w:szCs w:val="24"/>
        </w:rPr>
        <w:t xml:space="preserve">un’ipotesi </w:t>
      </w:r>
      <w:r w:rsidR="00535E21">
        <w:rPr>
          <w:rFonts w:ascii="Aptos" w:hAnsi="Aptos" w:cstheme="minorHAnsi"/>
          <w:sz w:val="24"/>
          <w:szCs w:val="24"/>
        </w:rPr>
        <w:t xml:space="preserve"> </w:t>
      </w:r>
      <w:r w:rsidRPr="00535E21">
        <w:rPr>
          <w:rFonts w:ascii="Aptos" w:hAnsi="Aptos" w:cstheme="minorHAnsi"/>
          <w:sz w:val="24"/>
          <w:szCs w:val="24"/>
        </w:rPr>
        <w:t xml:space="preserve">di </w:t>
      </w:r>
    </w:p>
    <w:p w14:paraId="0AE8C2FF" w14:textId="77777777" w:rsidR="00535E21" w:rsidRDefault="00535E21" w:rsidP="00EF3604">
      <w:pPr>
        <w:spacing w:line="360" w:lineRule="auto"/>
        <w:jc w:val="both"/>
        <w:rPr>
          <w:rFonts w:ascii="Aptos" w:hAnsi="Aptos" w:cstheme="minorHAnsi"/>
          <w:sz w:val="24"/>
          <w:szCs w:val="24"/>
        </w:rPr>
      </w:pPr>
    </w:p>
    <w:p w14:paraId="30B104EF" w14:textId="77777777" w:rsidR="00535E21" w:rsidRDefault="00535E21" w:rsidP="00EF3604">
      <w:pPr>
        <w:spacing w:line="360" w:lineRule="auto"/>
        <w:jc w:val="both"/>
        <w:rPr>
          <w:rFonts w:ascii="Aptos" w:hAnsi="Aptos" w:cstheme="minorHAnsi"/>
          <w:sz w:val="24"/>
          <w:szCs w:val="24"/>
        </w:rPr>
      </w:pPr>
    </w:p>
    <w:p w14:paraId="198D8DA0" w14:textId="77777777" w:rsidR="00535E21" w:rsidRDefault="00535E21" w:rsidP="00EF3604">
      <w:pPr>
        <w:spacing w:line="360" w:lineRule="auto"/>
        <w:jc w:val="both"/>
        <w:rPr>
          <w:rFonts w:ascii="Aptos" w:hAnsi="Aptos" w:cstheme="minorHAnsi"/>
          <w:sz w:val="24"/>
          <w:szCs w:val="24"/>
        </w:rPr>
      </w:pPr>
    </w:p>
    <w:p w14:paraId="401FD0B6" w14:textId="12170E55" w:rsidR="001E0FD4" w:rsidRP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 xml:space="preserve">litisconsorzio necessario. Anche tale censura viene respinta. Richiamando principi consolidati in materia di comunione, la Cassazione afferma che </w:t>
      </w:r>
      <w:r w:rsidRPr="00535E21">
        <w:rPr>
          <w:rFonts w:ascii="Aptos" w:hAnsi="Aptos" w:cstheme="minorHAnsi"/>
          <w:sz w:val="24"/>
          <w:szCs w:val="24"/>
          <w:u w:val="single"/>
        </w:rPr>
        <w:t>ciascun comproprietario è legittimato ad agire autonomamente per la tutela e la conservazione del bene comune e dei diritti ad esso inerenti</w:t>
      </w:r>
      <w:r w:rsidRPr="00535E21">
        <w:rPr>
          <w:rFonts w:ascii="Aptos" w:hAnsi="Aptos" w:cstheme="minorHAnsi"/>
          <w:sz w:val="24"/>
          <w:szCs w:val="24"/>
        </w:rPr>
        <w:t>. Solo la prova di un espresso dissenso degli altri partecipanti alla comunione potrebbe incidere sulla legittimazione del singolo. In mancanza di tale dimostrazione, l’azione proposta da uno solo dei contitolari deve considerarsi pienamente valida ed efficace.</w:t>
      </w:r>
    </w:p>
    <w:p w14:paraId="73A134D7" w14:textId="77777777" w:rsidR="00DF4311" w:rsidRPr="00535E21" w:rsidRDefault="00DF4311" w:rsidP="00EF3604">
      <w:pPr>
        <w:spacing w:line="360" w:lineRule="auto"/>
        <w:jc w:val="both"/>
        <w:rPr>
          <w:rFonts w:ascii="Aptos" w:hAnsi="Aptos" w:cstheme="minorHAnsi"/>
          <w:sz w:val="24"/>
          <w:szCs w:val="24"/>
        </w:rPr>
      </w:pPr>
    </w:p>
    <w:p w14:paraId="45D801F8" w14:textId="77777777" w:rsidR="00DF4311" w:rsidRPr="00535E21" w:rsidRDefault="001E0FD4" w:rsidP="00EF3604">
      <w:pPr>
        <w:spacing w:line="360" w:lineRule="auto"/>
        <w:jc w:val="both"/>
        <w:rPr>
          <w:rFonts w:ascii="Aptos" w:hAnsi="Aptos" w:cstheme="minorHAnsi"/>
          <w:sz w:val="24"/>
          <w:szCs w:val="24"/>
        </w:rPr>
      </w:pPr>
      <w:r w:rsidRPr="00535E21">
        <w:rPr>
          <w:rFonts w:ascii="Aptos" w:hAnsi="Aptos" w:cstheme="minorHAnsi"/>
          <w:sz w:val="24"/>
          <w:szCs w:val="24"/>
        </w:rPr>
        <w:t xml:space="preserve">L’ordinanza n. 19483 del 2026 rappresenta dunque una pronuncia di particolare importanza poiché consolida una linea interpretativa orientata a garantire certezza e stabilità ai rapporti agrari. Da un lato, viene riaffermata </w:t>
      </w:r>
      <w:r w:rsidRPr="00535E21">
        <w:rPr>
          <w:rFonts w:ascii="Aptos" w:hAnsi="Aptos" w:cstheme="minorHAnsi"/>
          <w:i/>
          <w:iCs/>
          <w:sz w:val="24"/>
          <w:szCs w:val="24"/>
        </w:rPr>
        <w:t>la centralità del titolo negoziale quale criterio fondamentale per la qualificazione del rapporto e per l’individuazione della competenza della Sezione Specializzata Agraria</w:t>
      </w:r>
      <w:r w:rsidRPr="00535E21">
        <w:rPr>
          <w:rFonts w:ascii="Aptos" w:hAnsi="Aptos" w:cstheme="minorHAnsi"/>
          <w:sz w:val="24"/>
          <w:szCs w:val="24"/>
        </w:rPr>
        <w:t xml:space="preserve">; dall’altro, viene </w:t>
      </w:r>
      <w:r w:rsidRPr="00535E21">
        <w:rPr>
          <w:rFonts w:ascii="Aptos" w:hAnsi="Aptos" w:cstheme="minorHAnsi"/>
          <w:i/>
          <w:iCs/>
          <w:sz w:val="24"/>
          <w:szCs w:val="24"/>
        </w:rPr>
        <w:t>valorizzata la funzione dell’assistenza sindacale prevista dall’art. 45 della legge n. 203 del 1982, riconoscendo alle attestazioni contenute negli accordi assistiti una forza probatoria privilegiata che può essere superata soltanto attraverso gli specifici rimedi predisposti dall’ordinamento.</w:t>
      </w:r>
      <w:r w:rsidRPr="00535E21">
        <w:rPr>
          <w:rFonts w:ascii="Aptos" w:hAnsi="Aptos" w:cstheme="minorHAnsi"/>
          <w:sz w:val="24"/>
          <w:szCs w:val="24"/>
        </w:rPr>
        <w:t xml:space="preserve"> </w:t>
      </w:r>
    </w:p>
    <w:p w14:paraId="72B4073F" w14:textId="77777777" w:rsidR="00EF3604" w:rsidRPr="00535E21" w:rsidRDefault="00EF3604" w:rsidP="00EF3604">
      <w:pPr>
        <w:spacing w:line="360" w:lineRule="auto"/>
        <w:jc w:val="both"/>
        <w:rPr>
          <w:rFonts w:ascii="Aptos" w:hAnsi="Aptos" w:cstheme="minorHAnsi"/>
          <w:sz w:val="24"/>
          <w:szCs w:val="24"/>
        </w:rPr>
      </w:pPr>
    </w:p>
    <w:p w14:paraId="799B836D" w14:textId="4C1C0773" w:rsidR="00EF3604" w:rsidRPr="00535E21" w:rsidRDefault="00EF3604" w:rsidP="00EF3604">
      <w:pPr>
        <w:spacing w:line="360" w:lineRule="auto"/>
        <w:jc w:val="both"/>
        <w:rPr>
          <w:rFonts w:ascii="Aptos" w:hAnsi="Aptos" w:cstheme="minorHAnsi"/>
          <w:sz w:val="24"/>
          <w:szCs w:val="24"/>
        </w:rPr>
      </w:pPr>
      <w:r w:rsidRPr="00535E21">
        <w:rPr>
          <w:rFonts w:ascii="Aptos" w:hAnsi="Aptos" w:cstheme="minorHAnsi"/>
          <w:sz w:val="24"/>
          <w:szCs w:val="24"/>
        </w:rPr>
        <w:t>Cordiali saluti.</w:t>
      </w:r>
    </w:p>
    <w:p w14:paraId="1B6D5BC4" w14:textId="77777777" w:rsidR="00EF3604" w:rsidRPr="00535E21" w:rsidRDefault="00EF3604" w:rsidP="00EF3604">
      <w:pPr>
        <w:spacing w:line="360" w:lineRule="auto"/>
        <w:jc w:val="both"/>
        <w:rPr>
          <w:rFonts w:ascii="Aptos" w:hAnsi="Aptos" w:cstheme="minorHAnsi"/>
          <w:sz w:val="24"/>
          <w:szCs w:val="24"/>
        </w:rPr>
      </w:pPr>
    </w:p>
    <w:p w14:paraId="65F5560A" w14:textId="77777777" w:rsidR="00EF3604" w:rsidRPr="00535E21" w:rsidRDefault="00EF3604" w:rsidP="00EF3604">
      <w:pPr>
        <w:spacing w:line="360" w:lineRule="auto"/>
        <w:jc w:val="both"/>
        <w:rPr>
          <w:rFonts w:ascii="Aptos" w:hAnsi="Aptos" w:cstheme="minorHAnsi"/>
          <w:sz w:val="24"/>
          <w:szCs w:val="24"/>
        </w:rPr>
      </w:pPr>
    </w:p>
    <w:p w14:paraId="6F263D5B" w14:textId="041F7E2C" w:rsidR="001E0FD4" w:rsidRPr="00535E21" w:rsidRDefault="00EF3604" w:rsidP="007D543D">
      <w:pPr>
        <w:pStyle w:val="Corpotesto"/>
        <w:rPr>
          <w:rFonts w:ascii="Aptos" w:hAnsi="Aptos" w:cstheme="minorHAnsi"/>
          <w:sz w:val="24"/>
          <w:szCs w:val="24"/>
        </w:rPr>
      </w:pPr>
      <w:r w:rsidRPr="00535E21">
        <w:rPr>
          <w:sz w:val="24"/>
          <w:szCs w:val="24"/>
        </w:rPr>
        <w:tab/>
      </w:r>
      <w:r w:rsidRPr="00535E21">
        <w:rPr>
          <w:sz w:val="24"/>
          <w:szCs w:val="24"/>
        </w:rPr>
        <w:tab/>
      </w:r>
      <w:r w:rsidRPr="00535E21">
        <w:rPr>
          <w:sz w:val="24"/>
          <w:szCs w:val="24"/>
        </w:rPr>
        <w:tab/>
      </w:r>
      <w:r w:rsidRPr="00535E21">
        <w:rPr>
          <w:sz w:val="24"/>
          <w:szCs w:val="24"/>
        </w:rPr>
        <w:tab/>
      </w:r>
      <w:r w:rsidRPr="00535E21">
        <w:rPr>
          <w:sz w:val="24"/>
          <w:szCs w:val="24"/>
        </w:rPr>
        <w:tab/>
      </w:r>
      <w:r w:rsidRPr="00535E21">
        <w:rPr>
          <w:sz w:val="24"/>
          <w:szCs w:val="24"/>
        </w:rPr>
        <w:tab/>
      </w:r>
      <w:r w:rsidRPr="00535E21">
        <w:rPr>
          <w:sz w:val="24"/>
          <w:szCs w:val="24"/>
        </w:rPr>
        <w:tab/>
      </w:r>
      <w:r w:rsidR="00535E21">
        <w:rPr>
          <w:sz w:val="24"/>
          <w:szCs w:val="24"/>
        </w:rPr>
        <w:tab/>
      </w:r>
      <w:r w:rsidR="007D543D">
        <w:rPr>
          <w:sz w:val="24"/>
          <w:szCs w:val="24"/>
        </w:rPr>
        <w:tab/>
      </w:r>
      <w:r w:rsidR="007D543D">
        <w:rPr>
          <w:sz w:val="24"/>
          <w:szCs w:val="24"/>
        </w:rPr>
        <w:tab/>
      </w:r>
      <w:r w:rsidR="007D543D">
        <w:rPr>
          <w:sz w:val="24"/>
          <w:szCs w:val="24"/>
        </w:rPr>
        <w:tab/>
      </w:r>
      <w:r w:rsidR="007D543D">
        <w:rPr>
          <w:sz w:val="24"/>
          <w:szCs w:val="24"/>
        </w:rPr>
        <w:tab/>
      </w:r>
      <w:r w:rsidR="007D543D">
        <w:rPr>
          <w:sz w:val="24"/>
          <w:szCs w:val="24"/>
        </w:rPr>
        <w:tab/>
      </w:r>
      <w:r w:rsidR="007D543D">
        <w:rPr>
          <w:sz w:val="24"/>
          <w:szCs w:val="24"/>
        </w:rPr>
        <w:tab/>
      </w:r>
      <w:r w:rsidR="007D543D">
        <w:rPr>
          <w:sz w:val="24"/>
          <w:szCs w:val="24"/>
        </w:rPr>
        <w:tab/>
      </w:r>
      <w:r w:rsidR="007D543D">
        <w:rPr>
          <w:sz w:val="24"/>
          <w:szCs w:val="24"/>
        </w:rPr>
        <w:tab/>
      </w:r>
      <w:r w:rsidR="007D543D">
        <w:rPr>
          <w:sz w:val="24"/>
          <w:szCs w:val="24"/>
        </w:rPr>
        <w:tab/>
      </w:r>
      <w:r w:rsidR="007D543D">
        <w:rPr>
          <w:sz w:val="24"/>
          <w:szCs w:val="24"/>
        </w:rPr>
        <w:tab/>
      </w:r>
      <w:r w:rsidR="007D543D">
        <w:rPr>
          <w:sz w:val="24"/>
          <w:szCs w:val="24"/>
        </w:rPr>
        <w:tab/>
      </w:r>
      <w:r w:rsidR="007D543D">
        <w:rPr>
          <w:sz w:val="24"/>
          <w:szCs w:val="24"/>
        </w:rPr>
        <w:tab/>
      </w:r>
      <w:r w:rsidR="00535E21">
        <w:rPr>
          <w:sz w:val="24"/>
          <w:szCs w:val="24"/>
        </w:rPr>
        <w:tab/>
      </w:r>
      <w:r w:rsidR="007D543D">
        <w:rPr>
          <w:noProof/>
        </w:rPr>
        <w:drawing>
          <wp:inline distT="0" distB="0" distL="0" distR="0" wp14:anchorId="1901CEA0" wp14:editId="756085D8">
            <wp:extent cx="2484120" cy="1318260"/>
            <wp:effectExtent l="0" t="0" r="0" b="0"/>
            <wp:docPr id="148473915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739155" name="Immagine 5"/>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4120" cy="1318260"/>
                    </a:xfrm>
                    <a:prstGeom prst="rect">
                      <a:avLst/>
                    </a:prstGeom>
                    <a:noFill/>
                    <a:ln>
                      <a:noFill/>
                    </a:ln>
                  </pic:spPr>
                </pic:pic>
              </a:graphicData>
            </a:graphic>
          </wp:inline>
        </w:drawing>
      </w:r>
    </w:p>
    <w:p w14:paraId="39EE3A5E" w14:textId="4F5A93E2" w:rsidR="00E33BE4" w:rsidRPr="00535E21" w:rsidRDefault="00E33BE4" w:rsidP="00EF3604">
      <w:pPr>
        <w:spacing w:line="360" w:lineRule="auto"/>
        <w:jc w:val="both"/>
        <w:rPr>
          <w:rFonts w:ascii="Aptos" w:hAnsi="Aptos" w:cstheme="minorHAnsi"/>
          <w:sz w:val="24"/>
          <w:szCs w:val="24"/>
        </w:rPr>
      </w:pPr>
    </w:p>
    <w:sectPr w:rsidR="00E33BE4" w:rsidRPr="00535E21">
      <w:headerReference w:type="default" r:id="rId13"/>
      <w:footerReference w:type="default" r:id="rId14"/>
      <w:pgSz w:w="11910" w:h="16840"/>
      <w:pgMar w:top="1260" w:right="1020" w:bottom="1200" w:left="880" w:header="569"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C9BD8" w14:textId="77777777" w:rsidR="00C150E5" w:rsidRDefault="00C150E5">
      <w:r>
        <w:separator/>
      </w:r>
    </w:p>
  </w:endnote>
  <w:endnote w:type="continuationSeparator" w:id="0">
    <w:p w14:paraId="332F6FF4" w14:textId="77777777" w:rsidR="00C150E5" w:rsidRDefault="00C15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37C5" w14:textId="332FA4A7" w:rsidR="00835A58" w:rsidRDefault="00103476">
    <w:pPr>
      <w:pStyle w:val="Corpotesto"/>
      <w:spacing w:line="14" w:lineRule="auto"/>
      <w:rPr>
        <w:sz w:val="20"/>
      </w:rPr>
    </w:pPr>
    <w:r>
      <w:rPr>
        <w:noProof/>
        <w:lang w:eastAsia="it-IT"/>
      </w:rPr>
      <mc:AlternateContent>
        <mc:Choice Requires="wps">
          <w:drawing>
            <wp:anchor distT="0" distB="0" distL="114300" distR="114300" simplePos="0" relativeHeight="251658240" behindDoc="1" locked="0" layoutInCell="1" allowOverlap="1" wp14:anchorId="4575475C" wp14:editId="5A84C969">
              <wp:simplePos x="0" y="0"/>
              <wp:positionH relativeFrom="page">
                <wp:posOffset>6732905</wp:posOffset>
              </wp:positionH>
              <wp:positionV relativeFrom="page">
                <wp:posOffset>9914890</wp:posOffset>
              </wp:positionV>
              <wp:extent cx="14732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F3441" w14:textId="77777777" w:rsidR="00835A58" w:rsidRDefault="00197FA0">
                          <w:pPr>
                            <w:pStyle w:val="Corpotesto"/>
                            <w:spacing w:line="245" w:lineRule="exact"/>
                            <w:ind w:left="60"/>
                          </w:pPr>
                          <w:r>
                            <w:fldChar w:fldCharType="begin"/>
                          </w:r>
                          <w:r>
                            <w:instrText xml:space="preserve"> PAGE </w:instrText>
                          </w:r>
                          <w:r>
                            <w:fldChar w:fldCharType="separate"/>
                          </w:r>
                          <w:r w:rsidR="000D1587">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75475C" id="_x0000_t202" coordsize="21600,21600" o:spt="202" path="m,l,21600r21600,l21600,xe">
              <v:stroke joinstyle="miter"/>
              <v:path gradientshapeok="t" o:connecttype="rect"/>
            </v:shapetype>
            <v:shape id="Text Box 1" o:spid="_x0000_s1027" type="#_x0000_t202" style="position:absolute;margin-left:530.15pt;margin-top:780.7pt;width:11.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" filled="f" stroked="f">
              <v:textbox inset="0,0,0,0">
                <w:txbxContent>
                  <w:p w14:paraId="542F3441" w14:textId="77777777" w:rsidR="00835A58" w:rsidRDefault="00197FA0">
                    <w:pPr>
                      <w:pStyle w:val="Corpotesto"/>
                      <w:spacing w:line="245" w:lineRule="exact"/>
                      <w:ind w:left="60"/>
                    </w:pPr>
                    <w:r>
                      <w:fldChar w:fldCharType="begin"/>
                    </w:r>
                    <w:r>
                      <w:instrText xml:space="preserve"> PAGE </w:instrText>
                    </w:r>
                    <w:r>
                      <w:fldChar w:fldCharType="separate"/>
                    </w:r>
                    <w:r w:rsidR="000D1587">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C3D60" w14:textId="77777777" w:rsidR="00C150E5" w:rsidRDefault="00C150E5">
      <w:r>
        <w:separator/>
      </w:r>
    </w:p>
  </w:footnote>
  <w:footnote w:type="continuationSeparator" w:id="0">
    <w:p w14:paraId="15513ABD" w14:textId="77777777" w:rsidR="00C150E5" w:rsidRDefault="00C15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80A2" w14:textId="77777777" w:rsidR="00835A58" w:rsidRDefault="00197FA0">
    <w:pPr>
      <w:pStyle w:val="Corpotesto"/>
      <w:spacing w:line="14" w:lineRule="auto"/>
      <w:rPr>
        <w:sz w:val="20"/>
      </w:rPr>
    </w:pPr>
    <w:r>
      <w:rPr>
        <w:noProof/>
        <w:lang w:eastAsia="it-IT"/>
      </w:rPr>
      <w:drawing>
        <wp:anchor distT="0" distB="0" distL="0" distR="0" simplePos="0" relativeHeight="251657216" behindDoc="1" locked="0" layoutInCell="1" allowOverlap="1" wp14:anchorId="57249AF9" wp14:editId="325A18C7">
          <wp:simplePos x="0" y="0"/>
          <wp:positionH relativeFrom="page">
            <wp:posOffset>4800600</wp:posOffset>
          </wp:positionH>
          <wp:positionV relativeFrom="page">
            <wp:posOffset>361188</wp:posOffset>
          </wp:positionV>
          <wp:extent cx="2040635" cy="446532"/>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2040635" cy="44653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4B5F"/>
    <w:multiLevelType w:val="multilevel"/>
    <w:tmpl w:val="80B4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F1492"/>
    <w:multiLevelType w:val="hybridMultilevel"/>
    <w:tmpl w:val="73C6E858"/>
    <w:lvl w:ilvl="0" w:tplc="1910F324">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8035DC6"/>
    <w:multiLevelType w:val="multilevel"/>
    <w:tmpl w:val="597A2D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E185E2B"/>
    <w:multiLevelType w:val="hybridMultilevel"/>
    <w:tmpl w:val="AF863DFC"/>
    <w:lvl w:ilvl="0" w:tplc="5C4AE31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BC75213"/>
    <w:multiLevelType w:val="hybridMultilevel"/>
    <w:tmpl w:val="84EA982A"/>
    <w:lvl w:ilvl="0" w:tplc="1C589EF4">
      <w:numFmt w:val="bullet"/>
      <w:lvlText w:val="-"/>
      <w:lvlJc w:val="left"/>
      <w:pPr>
        <w:ind w:left="720" w:hanging="360"/>
      </w:pPr>
      <w:rPr>
        <w:rFonts w:ascii="Aptos" w:eastAsia="Calibri" w:hAnsi="Apto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C8A5817"/>
    <w:multiLevelType w:val="hybridMultilevel"/>
    <w:tmpl w:val="6A1E8D6E"/>
    <w:lvl w:ilvl="0" w:tplc="9EB87D0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18136411">
    <w:abstractNumId w:val="5"/>
  </w:num>
  <w:num w:numId="2" w16cid:durableId="15976374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79256">
    <w:abstractNumId w:val="1"/>
  </w:num>
  <w:num w:numId="4" w16cid:durableId="244459529">
    <w:abstractNumId w:val="4"/>
  </w:num>
  <w:num w:numId="5" w16cid:durableId="563568216">
    <w:abstractNumId w:val="3"/>
  </w:num>
  <w:num w:numId="6" w16cid:durableId="311914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A58"/>
    <w:rsid w:val="000223F8"/>
    <w:rsid w:val="00033857"/>
    <w:rsid w:val="00037867"/>
    <w:rsid w:val="00052119"/>
    <w:rsid w:val="00053CEF"/>
    <w:rsid w:val="0006053E"/>
    <w:rsid w:val="000739E0"/>
    <w:rsid w:val="000B6E2A"/>
    <w:rsid w:val="000C240C"/>
    <w:rsid w:val="000D1587"/>
    <w:rsid w:val="000E3B2A"/>
    <w:rsid w:val="000E4737"/>
    <w:rsid w:val="000E62B9"/>
    <w:rsid w:val="000F44CF"/>
    <w:rsid w:val="00103476"/>
    <w:rsid w:val="00111A63"/>
    <w:rsid w:val="001370B2"/>
    <w:rsid w:val="00137A09"/>
    <w:rsid w:val="001510AE"/>
    <w:rsid w:val="00153BB8"/>
    <w:rsid w:val="001559DB"/>
    <w:rsid w:val="00175F2F"/>
    <w:rsid w:val="00197546"/>
    <w:rsid w:val="00197FA0"/>
    <w:rsid w:val="001A053B"/>
    <w:rsid w:val="001C0B6C"/>
    <w:rsid w:val="001C2813"/>
    <w:rsid w:val="001C7CCC"/>
    <w:rsid w:val="001D2526"/>
    <w:rsid w:val="001E0FD4"/>
    <w:rsid w:val="001E5A1B"/>
    <w:rsid w:val="00247C2D"/>
    <w:rsid w:val="002547C1"/>
    <w:rsid w:val="00273E8C"/>
    <w:rsid w:val="002740D2"/>
    <w:rsid w:val="00282020"/>
    <w:rsid w:val="002950C1"/>
    <w:rsid w:val="002A12A7"/>
    <w:rsid w:val="002B26D4"/>
    <w:rsid w:val="002B62BD"/>
    <w:rsid w:val="002E1D94"/>
    <w:rsid w:val="002F499E"/>
    <w:rsid w:val="00315E3E"/>
    <w:rsid w:val="00316A19"/>
    <w:rsid w:val="00322EA6"/>
    <w:rsid w:val="00364DFB"/>
    <w:rsid w:val="00392BF7"/>
    <w:rsid w:val="00393FA6"/>
    <w:rsid w:val="003A3EC6"/>
    <w:rsid w:val="003C7D75"/>
    <w:rsid w:val="003E118A"/>
    <w:rsid w:val="003F1258"/>
    <w:rsid w:val="003F32B1"/>
    <w:rsid w:val="003F34C8"/>
    <w:rsid w:val="00401D91"/>
    <w:rsid w:val="00405387"/>
    <w:rsid w:val="00406135"/>
    <w:rsid w:val="004245ED"/>
    <w:rsid w:val="00426652"/>
    <w:rsid w:val="00445233"/>
    <w:rsid w:val="00456017"/>
    <w:rsid w:val="00460C0C"/>
    <w:rsid w:val="0046485A"/>
    <w:rsid w:val="00470B5A"/>
    <w:rsid w:val="004801D1"/>
    <w:rsid w:val="00484965"/>
    <w:rsid w:val="00485B9B"/>
    <w:rsid w:val="004B12E7"/>
    <w:rsid w:val="004C3F77"/>
    <w:rsid w:val="004C5BA0"/>
    <w:rsid w:val="004D2B3E"/>
    <w:rsid w:val="004E0621"/>
    <w:rsid w:val="004F4C3E"/>
    <w:rsid w:val="004F5F9C"/>
    <w:rsid w:val="005316A8"/>
    <w:rsid w:val="00531A07"/>
    <w:rsid w:val="005324C2"/>
    <w:rsid w:val="00535E21"/>
    <w:rsid w:val="0054705C"/>
    <w:rsid w:val="005560E5"/>
    <w:rsid w:val="0055723D"/>
    <w:rsid w:val="00557769"/>
    <w:rsid w:val="005750B6"/>
    <w:rsid w:val="00580B53"/>
    <w:rsid w:val="0059326D"/>
    <w:rsid w:val="00594958"/>
    <w:rsid w:val="00596F8F"/>
    <w:rsid w:val="005C1B1C"/>
    <w:rsid w:val="005C3C23"/>
    <w:rsid w:val="005C5434"/>
    <w:rsid w:val="005F36A9"/>
    <w:rsid w:val="005F7B7A"/>
    <w:rsid w:val="006119F8"/>
    <w:rsid w:val="0061636B"/>
    <w:rsid w:val="006406FE"/>
    <w:rsid w:val="006409DE"/>
    <w:rsid w:val="006450BB"/>
    <w:rsid w:val="00652E93"/>
    <w:rsid w:val="006650AB"/>
    <w:rsid w:val="006678D0"/>
    <w:rsid w:val="00667B93"/>
    <w:rsid w:val="00682196"/>
    <w:rsid w:val="00686669"/>
    <w:rsid w:val="00686DDE"/>
    <w:rsid w:val="006A02BF"/>
    <w:rsid w:val="006A6005"/>
    <w:rsid w:val="006B7AF0"/>
    <w:rsid w:val="006D2CE2"/>
    <w:rsid w:val="006E205F"/>
    <w:rsid w:val="006F76F9"/>
    <w:rsid w:val="00707510"/>
    <w:rsid w:val="007252AB"/>
    <w:rsid w:val="00743107"/>
    <w:rsid w:val="007466E2"/>
    <w:rsid w:val="00764EC4"/>
    <w:rsid w:val="007B3F5F"/>
    <w:rsid w:val="007D543D"/>
    <w:rsid w:val="007F0DD0"/>
    <w:rsid w:val="007F348A"/>
    <w:rsid w:val="0080425D"/>
    <w:rsid w:val="00806792"/>
    <w:rsid w:val="008072CC"/>
    <w:rsid w:val="00814983"/>
    <w:rsid w:val="00824621"/>
    <w:rsid w:val="00835A58"/>
    <w:rsid w:val="008370E0"/>
    <w:rsid w:val="00837890"/>
    <w:rsid w:val="00837D35"/>
    <w:rsid w:val="00840E0B"/>
    <w:rsid w:val="0087565B"/>
    <w:rsid w:val="0089749B"/>
    <w:rsid w:val="008A2982"/>
    <w:rsid w:val="008A5261"/>
    <w:rsid w:val="008B6F13"/>
    <w:rsid w:val="008E423B"/>
    <w:rsid w:val="00913CB8"/>
    <w:rsid w:val="00913D9E"/>
    <w:rsid w:val="00925674"/>
    <w:rsid w:val="00926CE4"/>
    <w:rsid w:val="0093576A"/>
    <w:rsid w:val="00952D52"/>
    <w:rsid w:val="00962F83"/>
    <w:rsid w:val="00967EDB"/>
    <w:rsid w:val="00973B04"/>
    <w:rsid w:val="009874E4"/>
    <w:rsid w:val="00987D86"/>
    <w:rsid w:val="009A2E66"/>
    <w:rsid w:val="009A2F81"/>
    <w:rsid w:val="009A4C9A"/>
    <w:rsid w:val="009A6AB4"/>
    <w:rsid w:val="009B6ACD"/>
    <w:rsid w:val="009C2793"/>
    <w:rsid w:val="009C30B2"/>
    <w:rsid w:val="009C65EC"/>
    <w:rsid w:val="009D2874"/>
    <w:rsid w:val="009D581B"/>
    <w:rsid w:val="009F3845"/>
    <w:rsid w:val="00A12EC3"/>
    <w:rsid w:val="00A3429D"/>
    <w:rsid w:val="00A43937"/>
    <w:rsid w:val="00A603B4"/>
    <w:rsid w:val="00A61FAE"/>
    <w:rsid w:val="00A65BDB"/>
    <w:rsid w:val="00A67955"/>
    <w:rsid w:val="00AA38A8"/>
    <w:rsid w:val="00AB1D9A"/>
    <w:rsid w:val="00AB25FF"/>
    <w:rsid w:val="00AB7CAD"/>
    <w:rsid w:val="00AC72FB"/>
    <w:rsid w:val="00AD09B2"/>
    <w:rsid w:val="00AD18AD"/>
    <w:rsid w:val="00B2770E"/>
    <w:rsid w:val="00B40066"/>
    <w:rsid w:val="00B55A05"/>
    <w:rsid w:val="00B560F5"/>
    <w:rsid w:val="00B5735E"/>
    <w:rsid w:val="00B6207E"/>
    <w:rsid w:val="00B62C4A"/>
    <w:rsid w:val="00B94887"/>
    <w:rsid w:val="00BA15FA"/>
    <w:rsid w:val="00BB4BC2"/>
    <w:rsid w:val="00BB69DB"/>
    <w:rsid w:val="00BB6BAA"/>
    <w:rsid w:val="00BD40AB"/>
    <w:rsid w:val="00BE0146"/>
    <w:rsid w:val="00BF2E7F"/>
    <w:rsid w:val="00BF4681"/>
    <w:rsid w:val="00C02730"/>
    <w:rsid w:val="00C150E5"/>
    <w:rsid w:val="00C8021E"/>
    <w:rsid w:val="00C80F69"/>
    <w:rsid w:val="00C81146"/>
    <w:rsid w:val="00C8507F"/>
    <w:rsid w:val="00CD6824"/>
    <w:rsid w:val="00CE028C"/>
    <w:rsid w:val="00CE33CA"/>
    <w:rsid w:val="00CF30DD"/>
    <w:rsid w:val="00D0612D"/>
    <w:rsid w:val="00D148D6"/>
    <w:rsid w:val="00D2187D"/>
    <w:rsid w:val="00D32D32"/>
    <w:rsid w:val="00D45779"/>
    <w:rsid w:val="00D74569"/>
    <w:rsid w:val="00D855E6"/>
    <w:rsid w:val="00DC6055"/>
    <w:rsid w:val="00DD262B"/>
    <w:rsid w:val="00DF3EF1"/>
    <w:rsid w:val="00DF4311"/>
    <w:rsid w:val="00E0593A"/>
    <w:rsid w:val="00E13BFE"/>
    <w:rsid w:val="00E33BE4"/>
    <w:rsid w:val="00E42051"/>
    <w:rsid w:val="00E42B62"/>
    <w:rsid w:val="00E56D27"/>
    <w:rsid w:val="00E5708A"/>
    <w:rsid w:val="00E65D63"/>
    <w:rsid w:val="00E735EF"/>
    <w:rsid w:val="00E800C0"/>
    <w:rsid w:val="00E907CA"/>
    <w:rsid w:val="00EA3B10"/>
    <w:rsid w:val="00EB09FD"/>
    <w:rsid w:val="00EB0B74"/>
    <w:rsid w:val="00ED45FC"/>
    <w:rsid w:val="00ED57C0"/>
    <w:rsid w:val="00EF3604"/>
    <w:rsid w:val="00F11C90"/>
    <w:rsid w:val="00F13658"/>
    <w:rsid w:val="00F15DA7"/>
    <w:rsid w:val="00F24C87"/>
    <w:rsid w:val="00F32C49"/>
    <w:rsid w:val="00F47C4C"/>
    <w:rsid w:val="00F54A9D"/>
    <w:rsid w:val="00F81F33"/>
    <w:rsid w:val="00F93CB4"/>
    <w:rsid w:val="00FA6BE6"/>
    <w:rsid w:val="00FC70E5"/>
    <w:rsid w:val="00FD69FB"/>
    <w:rsid w:val="00FD7E2A"/>
    <w:rsid w:val="00FE0C1D"/>
    <w:rsid w:val="00FF17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C70A0"/>
  <w15:docId w15:val="{F1BD30B3-1A30-46E9-A7AE-F82BD681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47C1"/>
    <w:rPr>
      <w:rFonts w:ascii="Calibri" w:eastAsia="Calibri" w:hAnsi="Calibri" w:cs="Calibri"/>
      <w:lang w:val="it-IT"/>
    </w:rPr>
  </w:style>
  <w:style w:type="paragraph" w:styleId="Titolo1">
    <w:name w:val="heading 1"/>
    <w:basedOn w:val="Normale"/>
    <w:link w:val="Titolo1Carattere"/>
    <w:uiPriority w:val="9"/>
    <w:qFormat/>
    <w:pPr>
      <w:ind w:left="113"/>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Testonotaapidipagina">
    <w:name w:val="footnote text"/>
    <w:basedOn w:val="Normale"/>
    <w:link w:val="TestonotaapidipaginaCarattere"/>
    <w:uiPriority w:val="99"/>
    <w:semiHidden/>
    <w:unhideWhenUsed/>
    <w:rsid w:val="003A3EC6"/>
    <w:pPr>
      <w:widowControl/>
      <w:autoSpaceDE/>
      <w:autoSpaceDN/>
    </w:pPr>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3A3EC6"/>
    <w:rPr>
      <w:sz w:val="20"/>
      <w:szCs w:val="20"/>
      <w:lang w:val="it-IT"/>
    </w:rPr>
  </w:style>
  <w:style w:type="character" w:styleId="Rimandonotaapidipagina">
    <w:name w:val="footnote reference"/>
    <w:basedOn w:val="Carpredefinitoparagrafo"/>
    <w:uiPriority w:val="99"/>
    <w:semiHidden/>
    <w:unhideWhenUsed/>
    <w:rsid w:val="003A3EC6"/>
    <w:rPr>
      <w:vertAlign w:val="superscript"/>
    </w:rPr>
  </w:style>
  <w:style w:type="character" w:customStyle="1" w:styleId="Titolo1Carattere">
    <w:name w:val="Titolo 1 Carattere"/>
    <w:basedOn w:val="Carpredefinitoparagrafo"/>
    <w:link w:val="Titolo1"/>
    <w:uiPriority w:val="9"/>
    <w:rsid w:val="00A603B4"/>
    <w:rPr>
      <w:rFonts w:ascii="Calibri" w:eastAsia="Calibri" w:hAnsi="Calibri" w:cs="Calibri"/>
      <w:b/>
      <w:bCs/>
      <w:lang w:val="it-IT"/>
    </w:rPr>
  </w:style>
  <w:style w:type="character" w:styleId="Collegamentoipertestuale">
    <w:name w:val="Hyperlink"/>
    <w:basedOn w:val="Carpredefinitoparagrafo"/>
    <w:uiPriority w:val="99"/>
    <w:unhideWhenUsed/>
    <w:rsid w:val="00E5708A"/>
    <w:rPr>
      <w:color w:val="0000FF" w:themeColor="hyperlink"/>
      <w:u w:val="single"/>
    </w:rPr>
  </w:style>
  <w:style w:type="character" w:styleId="Menzionenonrisolta">
    <w:name w:val="Unresolved Mention"/>
    <w:basedOn w:val="Carpredefinitoparagrafo"/>
    <w:uiPriority w:val="99"/>
    <w:semiHidden/>
    <w:unhideWhenUsed/>
    <w:rsid w:val="00E5708A"/>
    <w:rPr>
      <w:color w:val="605E5C"/>
      <w:shd w:val="clear" w:color="auto" w:fill="E1DFDD"/>
    </w:rPr>
  </w:style>
  <w:style w:type="character" w:styleId="Collegamentovisitato">
    <w:name w:val="FollowedHyperlink"/>
    <w:basedOn w:val="Carpredefinitoparagrafo"/>
    <w:uiPriority w:val="99"/>
    <w:semiHidden/>
    <w:unhideWhenUsed/>
    <w:rsid w:val="00967EDB"/>
    <w:rPr>
      <w:color w:val="800080" w:themeColor="followedHyperlink"/>
      <w:u w:val="single"/>
    </w:rPr>
  </w:style>
  <w:style w:type="paragraph" w:styleId="Intestazione">
    <w:name w:val="header"/>
    <w:basedOn w:val="Normale"/>
    <w:link w:val="IntestazioneCarattere"/>
    <w:uiPriority w:val="99"/>
    <w:unhideWhenUsed/>
    <w:rsid w:val="00456017"/>
    <w:pPr>
      <w:tabs>
        <w:tab w:val="center" w:pos="4819"/>
        <w:tab w:val="right" w:pos="9638"/>
      </w:tabs>
    </w:pPr>
  </w:style>
  <w:style w:type="character" w:customStyle="1" w:styleId="IntestazioneCarattere">
    <w:name w:val="Intestazione Carattere"/>
    <w:basedOn w:val="Carpredefinitoparagrafo"/>
    <w:link w:val="Intestazione"/>
    <w:uiPriority w:val="99"/>
    <w:rsid w:val="00456017"/>
    <w:rPr>
      <w:rFonts w:ascii="Calibri" w:eastAsia="Calibri" w:hAnsi="Calibri" w:cs="Calibri"/>
      <w:lang w:val="it-IT"/>
    </w:rPr>
  </w:style>
  <w:style w:type="paragraph" w:styleId="Pidipagina">
    <w:name w:val="footer"/>
    <w:basedOn w:val="Normale"/>
    <w:link w:val="PidipaginaCarattere"/>
    <w:uiPriority w:val="99"/>
    <w:unhideWhenUsed/>
    <w:rsid w:val="00456017"/>
    <w:pPr>
      <w:tabs>
        <w:tab w:val="center" w:pos="4819"/>
        <w:tab w:val="right" w:pos="9638"/>
      </w:tabs>
    </w:pPr>
  </w:style>
  <w:style w:type="character" w:customStyle="1" w:styleId="PidipaginaCarattere">
    <w:name w:val="Piè di pagina Carattere"/>
    <w:basedOn w:val="Carpredefinitoparagrafo"/>
    <w:link w:val="Pidipagina"/>
    <w:uiPriority w:val="99"/>
    <w:rsid w:val="00456017"/>
    <w:rPr>
      <w:rFonts w:ascii="Calibri" w:eastAsia="Calibri" w:hAnsi="Calibri" w:cs="Calibri"/>
      <w:lang w:val="it-IT"/>
    </w:rPr>
  </w:style>
  <w:style w:type="paragraph" w:styleId="NormaleWeb">
    <w:name w:val="Normal (Web)"/>
    <w:basedOn w:val="Normale"/>
    <w:uiPriority w:val="99"/>
    <w:semiHidden/>
    <w:unhideWhenUsed/>
    <w:rsid w:val="001C0B6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00518">
      <w:bodyDiv w:val="1"/>
      <w:marLeft w:val="0"/>
      <w:marRight w:val="0"/>
      <w:marTop w:val="0"/>
      <w:marBottom w:val="0"/>
      <w:divBdr>
        <w:top w:val="none" w:sz="0" w:space="0" w:color="auto"/>
        <w:left w:val="none" w:sz="0" w:space="0" w:color="auto"/>
        <w:bottom w:val="none" w:sz="0" w:space="0" w:color="auto"/>
        <w:right w:val="none" w:sz="0" w:space="0" w:color="auto"/>
      </w:divBdr>
    </w:div>
    <w:div w:id="140080876">
      <w:bodyDiv w:val="1"/>
      <w:marLeft w:val="0"/>
      <w:marRight w:val="0"/>
      <w:marTop w:val="0"/>
      <w:marBottom w:val="0"/>
      <w:divBdr>
        <w:top w:val="none" w:sz="0" w:space="0" w:color="auto"/>
        <w:left w:val="none" w:sz="0" w:space="0" w:color="auto"/>
        <w:bottom w:val="none" w:sz="0" w:space="0" w:color="auto"/>
        <w:right w:val="none" w:sz="0" w:space="0" w:color="auto"/>
      </w:divBdr>
    </w:div>
    <w:div w:id="193622414">
      <w:bodyDiv w:val="1"/>
      <w:marLeft w:val="0"/>
      <w:marRight w:val="0"/>
      <w:marTop w:val="0"/>
      <w:marBottom w:val="0"/>
      <w:divBdr>
        <w:top w:val="none" w:sz="0" w:space="0" w:color="auto"/>
        <w:left w:val="none" w:sz="0" w:space="0" w:color="auto"/>
        <w:bottom w:val="none" w:sz="0" w:space="0" w:color="auto"/>
        <w:right w:val="none" w:sz="0" w:space="0" w:color="auto"/>
      </w:divBdr>
    </w:div>
    <w:div w:id="459106669">
      <w:bodyDiv w:val="1"/>
      <w:marLeft w:val="0"/>
      <w:marRight w:val="0"/>
      <w:marTop w:val="0"/>
      <w:marBottom w:val="0"/>
      <w:divBdr>
        <w:top w:val="none" w:sz="0" w:space="0" w:color="auto"/>
        <w:left w:val="none" w:sz="0" w:space="0" w:color="auto"/>
        <w:bottom w:val="none" w:sz="0" w:space="0" w:color="auto"/>
        <w:right w:val="none" w:sz="0" w:space="0" w:color="auto"/>
      </w:divBdr>
    </w:div>
    <w:div w:id="626476319">
      <w:bodyDiv w:val="1"/>
      <w:marLeft w:val="0"/>
      <w:marRight w:val="0"/>
      <w:marTop w:val="0"/>
      <w:marBottom w:val="0"/>
      <w:divBdr>
        <w:top w:val="none" w:sz="0" w:space="0" w:color="auto"/>
        <w:left w:val="none" w:sz="0" w:space="0" w:color="auto"/>
        <w:bottom w:val="none" w:sz="0" w:space="0" w:color="auto"/>
        <w:right w:val="none" w:sz="0" w:space="0" w:color="auto"/>
      </w:divBdr>
    </w:div>
    <w:div w:id="736783949">
      <w:bodyDiv w:val="1"/>
      <w:marLeft w:val="0"/>
      <w:marRight w:val="0"/>
      <w:marTop w:val="0"/>
      <w:marBottom w:val="0"/>
      <w:divBdr>
        <w:top w:val="none" w:sz="0" w:space="0" w:color="auto"/>
        <w:left w:val="none" w:sz="0" w:space="0" w:color="auto"/>
        <w:bottom w:val="none" w:sz="0" w:space="0" w:color="auto"/>
        <w:right w:val="none" w:sz="0" w:space="0" w:color="auto"/>
      </w:divBdr>
    </w:div>
    <w:div w:id="793643972">
      <w:bodyDiv w:val="1"/>
      <w:marLeft w:val="0"/>
      <w:marRight w:val="0"/>
      <w:marTop w:val="0"/>
      <w:marBottom w:val="0"/>
      <w:divBdr>
        <w:top w:val="none" w:sz="0" w:space="0" w:color="auto"/>
        <w:left w:val="none" w:sz="0" w:space="0" w:color="auto"/>
        <w:bottom w:val="none" w:sz="0" w:space="0" w:color="auto"/>
        <w:right w:val="none" w:sz="0" w:space="0" w:color="auto"/>
      </w:divBdr>
    </w:div>
    <w:div w:id="797838888">
      <w:bodyDiv w:val="1"/>
      <w:marLeft w:val="0"/>
      <w:marRight w:val="0"/>
      <w:marTop w:val="0"/>
      <w:marBottom w:val="0"/>
      <w:divBdr>
        <w:top w:val="none" w:sz="0" w:space="0" w:color="auto"/>
        <w:left w:val="none" w:sz="0" w:space="0" w:color="auto"/>
        <w:bottom w:val="none" w:sz="0" w:space="0" w:color="auto"/>
        <w:right w:val="none" w:sz="0" w:space="0" w:color="auto"/>
      </w:divBdr>
    </w:div>
    <w:div w:id="1284075959">
      <w:bodyDiv w:val="1"/>
      <w:marLeft w:val="0"/>
      <w:marRight w:val="0"/>
      <w:marTop w:val="0"/>
      <w:marBottom w:val="0"/>
      <w:divBdr>
        <w:top w:val="none" w:sz="0" w:space="0" w:color="auto"/>
        <w:left w:val="none" w:sz="0" w:space="0" w:color="auto"/>
        <w:bottom w:val="none" w:sz="0" w:space="0" w:color="auto"/>
        <w:right w:val="none" w:sz="0" w:space="0" w:color="auto"/>
      </w:divBdr>
    </w:div>
    <w:div w:id="1353611861">
      <w:bodyDiv w:val="1"/>
      <w:marLeft w:val="0"/>
      <w:marRight w:val="0"/>
      <w:marTop w:val="0"/>
      <w:marBottom w:val="0"/>
      <w:divBdr>
        <w:top w:val="none" w:sz="0" w:space="0" w:color="auto"/>
        <w:left w:val="none" w:sz="0" w:space="0" w:color="auto"/>
        <w:bottom w:val="none" w:sz="0" w:space="0" w:color="auto"/>
        <w:right w:val="none" w:sz="0" w:space="0" w:color="auto"/>
      </w:divBdr>
    </w:div>
    <w:div w:id="1400832865">
      <w:bodyDiv w:val="1"/>
      <w:marLeft w:val="0"/>
      <w:marRight w:val="0"/>
      <w:marTop w:val="0"/>
      <w:marBottom w:val="0"/>
      <w:divBdr>
        <w:top w:val="none" w:sz="0" w:space="0" w:color="auto"/>
        <w:left w:val="none" w:sz="0" w:space="0" w:color="auto"/>
        <w:bottom w:val="none" w:sz="0" w:space="0" w:color="auto"/>
        <w:right w:val="none" w:sz="0" w:space="0" w:color="auto"/>
      </w:divBdr>
    </w:div>
    <w:div w:id="1466893578">
      <w:bodyDiv w:val="1"/>
      <w:marLeft w:val="0"/>
      <w:marRight w:val="0"/>
      <w:marTop w:val="0"/>
      <w:marBottom w:val="0"/>
      <w:divBdr>
        <w:top w:val="none" w:sz="0" w:space="0" w:color="auto"/>
        <w:left w:val="none" w:sz="0" w:space="0" w:color="auto"/>
        <w:bottom w:val="none" w:sz="0" w:space="0" w:color="auto"/>
        <w:right w:val="none" w:sz="0" w:space="0" w:color="auto"/>
      </w:divBdr>
    </w:div>
    <w:div w:id="1823765705">
      <w:bodyDiv w:val="1"/>
      <w:marLeft w:val="0"/>
      <w:marRight w:val="0"/>
      <w:marTop w:val="0"/>
      <w:marBottom w:val="0"/>
      <w:divBdr>
        <w:top w:val="none" w:sz="0" w:space="0" w:color="auto"/>
        <w:left w:val="none" w:sz="0" w:space="0" w:color="auto"/>
        <w:bottom w:val="none" w:sz="0" w:space="0" w:color="auto"/>
        <w:right w:val="none" w:sz="0" w:space="0" w:color="auto"/>
      </w:divBdr>
    </w:div>
    <w:div w:id="1867132379">
      <w:bodyDiv w:val="1"/>
      <w:marLeft w:val="0"/>
      <w:marRight w:val="0"/>
      <w:marTop w:val="0"/>
      <w:marBottom w:val="0"/>
      <w:divBdr>
        <w:top w:val="none" w:sz="0" w:space="0" w:color="auto"/>
        <w:left w:val="none" w:sz="0" w:space="0" w:color="auto"/>
        <w:bottom w:val="none" w:sz="0" w:space="0" w:color="auto"/>
        <w:right w:val="none" w:sz="0" w:space="0" w:color="auto"/>
      </w:divBdr>
    </w:div>
    <w:div w:id="1905413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fagricoltur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egale@confagricoltura.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1EF6F-3124-4816-AB8A-A40286020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1951</Words>
  <Characters>11125</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Microsoft Word - Circolare  n.  16541 del 21 gennaio 2022 .docx</vt:lpstr>
    </vt:vector>
  </TitlesOfParts>
  <Company/>
  <LinksUpToDate>false</LinksUpToDate>
  <CharactersWithSpaces>13050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Circolare  n.  16541 del 21 gennaio 2022 .docx</dc:title>
  <dc:subject/>
  <dc:creator>ROMEO</dc:creator>
  <cp:keywords/>
  <dc:description/>
  <cp:lastModifiedBy>Affari Legali</cp:lastModifiedBy>
  <cp:revision>8</cp:revision>
  <cp:lastPrinted>2026-07-03T08:54:00Z</cp:lastPrinted>
  <dcterms:created xsi:type="dcterms:W3CDTF">2026-06-24T10:28:00Z</dcterms:created>
  <dcterms:modified xsi:type="dcterms:W3CDTF">2026-07-08T14:13:00Z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2022-01-21T00:00:00Z</vt:filetime>
  </property>
  <property fmtid="{D5CDD505-2E9C-101B-9397-08002B2CF9AE}" pid="3" name="LastSaved">
    <vt:filetime>2022-01-27T00:00:00Z</vt:filetime>
  </property>
</Properties>
</file>