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9E547" w14:textId="77777777" w:rsidR="00B54359" w:rsidRPr="00B71EB6" w:rsidRDefault="00B54359" w:rsidP="00B54359">
      <w:pPr>
        <w:rPr>
          <w:rFonts w:ascii="Times New Roman" w:hAnsi="Times New Roman" w:cs="Times New Roman"/>
          <w:b/>
          <w:bCs/>
        </w:rPr>
      </w:pPr>
      <w:r w:rsidRPr="00B71EB6">
        <w:rPr>
          <w:rFonts w:ascii="Times New Roman" w:hAnsi="Times New Roman" w:cs="Times New Roman"/>
          <w:b/>
          <w:bCs/>
        </w:rPr>
        <w:t>Principali obblighi PPWR e relative decorrenze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1"/>
        <w:gridCol w:w="1345"/>
        <w:gridCol w:w="3503"/>
        <w:gridCol w:w="2219"/>
      </w:tblGrid>
      <w:tr w:rsidR="00B54359" w:rsidRPr="00B71EB6" w14:paraId="698B34D4" w14:textId="77777777" w:rsidTr="00322164">
        <w:trPr>
          <w:tblHeader/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75DC796" w14:textId="77777777" w:rsidR="00B54359" w:rsidRPr="00B71EB6" w:rsidRDefault="00B54359" w:rsidP="00B54359">
            <w:pPr>
              <w:rPr>
                <w:rFonts w:ascii="Times New Roman" w:hAnsi="Times New Roman" w:cs="Times New Roman"/>
                <w:b/>
                <w:bCs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Obbligo / requisito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53BE8375" w14:textId="77777777" w:rsidR="00B54359" w:rsidRPr="00B71EB6" w:rsidRDefault="00B54359" w:rsidP="00B54359">
            <w:pPr>
              <w:rPr>
                <w:rFonts w:ascii="Times New Roman" w:hAnsi="Times New Roman" w:cs="Times New Roman"/>
                <w:b/>
                <w:bCs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Riferimento PPWR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EC601A9" w14:textId="77777777" w:rsidR="00B54359" w:rsidRPr="00B71EB6" w:rsidRDefault="00B54359" w:rsidP="00B54359">
            <w:pPr>
              <w:rPr>
                <w:rFonts w:ascii="Times New Roman" w:hAnsi="Times New Roman" w:cs="Times New Roman"/>
                <w:b/>
                <w:bCs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Cosa prevede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D3A884A" w14:textId="77777777" w:rsidR="00B54359" w:rsidRPr="00B71EB6" w:rsidRDefault="00B54359" w:rsidP="00B54359">
            <w:pPr>
              <w:rPr>
                <w:rFonts w:ascii="Times New Roman" w:hAnsi="Times New Roman" w:cs="Times New Roman"/>
                <w:b/>
                <w:bCs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Entrata in vigore / applicazione</w:t>
            </w:r>
          </w:p>
        </w:tc>
      </w:tr>
      <w:tr w:rsidR="00B54359" w:rsidRPr="00B71EB6" w14:paraId="37EBC417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76A0D4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Applicazione generale del PPWR</w:t>
            </w:r>
          </w:p>
        </w:tc>
        <w:tc>
          <w:tcPr>
            <w:tcW w:w="0" w:type="auto"/>
            <w:vAlign w:val="center"/>
            <w:hideMark/>
          </w:tcPr>
          <w:p w14:paraId="0E04A981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Art. 71</w:t>
            </w:r>
          </w:p>
        </w:tc>
        <w:tc>
          <w:tcPr>
            <w:tcW w:w="0" w:type="auto"/>
            <w:vAlign w:val="center"/>
            <w:hideMark/>
          </w:tcPr>
          <w:p w14:paraId="63E76E16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Il Regolamento diventa direttamente applicabile negli Stati membri e sostituisce progressivamente la disciplina della Direttiva 94/62/CE.</w:t>
            </w:r>
          </w:p>
        </w:tc>
        <w:tc>
          <w:tcPr>
            <w:tcW w:w="0" w:type="auto"/>
            <w:vAlign w:val="center"/>
            <w:hideMark/>
          </w:tcPr>
          <w:p w14:paraId="407732FC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12 agosto 2026</w:t>
            </w:r>
          </w:p>
        </w:tc>
      </w:tr>
      <w:tr w:rsidR="00B54359" w:rsidRPr="00B71EB6" w14:paraId="6E0D29A9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CE7853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Valutazione di conformità e documentazione tecnica</w:t>
            </w:r>
          </w:p>
        </w:tc>
        <w:tc>
          <w:tcPr>
            <w:tcW w:w="0" w:type="auto"/>
            <w:vAlign w:val="center"/>
            <w:hideMark/>
          </w:tcPr>
          <w:p w14:paraId="0DEAFD6B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Artt. 15 e 38; Allegato VII</w:t>
            </w:r>
          </w:p>
        </w:tc>
        <w:tc>
          <w:tcPr>
            <w:tcW w:w="0" w:type="auto"/>
            <w:vAlign w:val="center"/>
            <w:hideMark/>
          </w:tcPr>
          <w:p w14:paraId="0B08AFB1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Prima dell’immissione sul mercato, il fabbricante deve effettuare (o far effettuare) la procedura di valutazione della conformità e predisporre la documentazione tecnica.</w:t>
            </w:r>
          </w:p>
        </w:tc>
        <w:tc>
          <w:tcPr>
            <w:tcW w:w="0" w:type="auto"/>
            <w:vAlign w:val="center"/>
            <w:hideMark/>
          </w:tcPr>
          <w:p w14:paraId="6748C728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12 agosto 2026</w:t>
            </w:r>
          </w:p>
        </w:tc>
      </w:tr>
      <w:tr w:rsidR="00B54359" w:rsidRPr="00B71EB6" w14:paraId="57380C93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043A53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Dichiarazione UE di conformità</w:t>
            </w:r>
          </w:p>
        </w:tc>
        <w:tc>
          <w:tcPr>
            <w:tcW w:w="0" w:type="auto"/>
            <w:vAlign w:val="center"/>
            <w:hideMark/>
          </w:tcPr>
          <w:p w14:paraId="5F3E346D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Artt. 15 e 39; Allegato VIII</w:t>
            </w:r>
          </w:p>
        </w:tc>
        <w:tc>
          <w:tcPr>
            <w:tcW w:w="0" w:type="auto"/>
            <w:vAlign w:val="center"/>
            <w:hideMark/>
          </w:tcPr>
          <w:p w14:paraId="706E353A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Una volta dimostrata la conformità, il fabbricante redige la dichiarazione UE di conformità, assumendosi la responsabilità della conformità dell’imballaggio.</w:t>
            </w:r>
          </w:p>
        </w:tc>
        <w:tc>
          <w:tcPr>
            <w:tcW w:w="0" w:type="auto"/>
            <w:vAlign w:val="center"/>
            <w:hideMark/>
          </w:tcPr>
          <w:p w14:paraId="4EFCE708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12 agosto 2026</w:t>
            </w:r>
          </w:p>
        </w:tc>
      </w:tr>
      <w:tr w:rsidR="00B54359" w:rsidRPr="00B71EB6" w14:paraId="3800FCA3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47481C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Conservazione della documentazione</w:t>
            </w:r>
          </w:p>
        </w:tc>
        <w:tc>
          <w:tcPr>
            <w:tcW w:w="0" w:type="auto"/>
            <w:vAlign w:val="center"/>
            <w:hideMark/>
          </w:tcPr>
          <w:p w14:paraId="75A61271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Art. 15</w:t>
            </w:r>
          </w:p>
        </w:tc>
        <w:tc>
          <w:tcPr>
            <w:tcW w:w="0" w:type="auto"/>
            <w:vAlign w:val="center"/>
            <w:hideMark/>
          </w:tcPr>
          <w:p w14:paraId="7F1E62B2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 xml:space="preserve">Documentazione tecnica e dichiarazione di conformità devono essere conservate per </w:t>
            </w:r>
            <w:r w:rsidRPr="00B71EB6">
              <w:rPr>
                <w:rFonts w:ascii="Times New Roman" w:hAnsi="Times New Roman" w:cs="Times New Roman"/>
                <w:b/>
                <w:bCs/>
              </w:rPr>
              <w:t>5 anni</w:t>
            </w:r>
            <w:r w:rsidRPr="00B71EB6">
              <w:rPr>
                <w:rFonts w:ascii="Times New Roman" w:hAnsi="Times New Roman" w:cs="Times New Roman"/>
              </w:rPr>
              <w:t xml:space="preserve"> per gli imballaggi monouso e </w:t>
            </w:r>
            <w:r w:rsidRPr="00B71EB6">
              <w:rPr>
                <w:rFonts w:ascii="Times New Roman" w:hAnsi="Times New Roman" w:cs="Times New Roman"/>
                <w:b/>
                <w:bCs/>
              </w:rPr>
              <w:t>10 anni</w:t>
            </w:r>
            <w:r w:rsidRPr="00B71EB6">
              <w:rPr>
                <w:rFonts w:ascii="Times New Roman" w:hAnsi="Times New Roman" w:cs="Times New Roman"/>
              </w:rPr>
              <w:t xml:space="preserve"> per quelli riutilizzabili.</w:t>
            </w:r>
          </w:p>
        </w:tc>
        <w:tc>
          <w:tcPr>
            <w:tcW w:w="0" w:type="auto"/>
            <w:vAlign w:val="center"/>
            <w:hideMark/>
          </w:tcPr>
          <w:p w14:paraId="4BBD4B5D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12 agosto 2026</w:t>
            </w:r>
          </w:p>
        </w:tc>
      </w:tr>
      <w:tr w:rsidR="00B54359" w:rsidRPr="00B71EB6" w14:paraId="357CA01A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E8C87E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Verifica PFAS negli imballaggi a contatto con alimenti</w:t>
            </w:r>
          </w:p>
        </w:tc>
        <w:tc>
          <w:tcPr>
            <w:tcW w:w="0" w:type="auto"/>
            <w:vAlign w:val="center"/>
            <w:hideMark/>
          </w:tcPr>
          <w:p w14:paraId="356043FE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Art. 5, par. 5</w:t>
            </w:r>
          </w:p>
        </w:tc>
        <w:tc>
          <w:tcPr>
            <w:tcW w:w="0" w:type="auto"/>
            <w:vAlign w:val="center"/>
            <w:hideMark/>
          </w:tcPr>
          <w:p w14:paraId="491D4648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 xml:space="preserve">Divieto di immissione sul mercato per imballaggi a contatto con alimenti contenenti PFAS ≥ </w:t>
            </w:r>
            <w:r w:rsidRPr="00B71EB6">
              <w:rPr>
                <w:rFonts w:ascii="Times New Roman" w:hAnsi="Times New Roman" w:cs="Times New Roman"/>
                <w:b/>
                <w:bCs/>
              </w:rPr>
              <w:t>25 ppb</w:t>
            </w:r>
            <w:r w:rsidRPr="00B71EB6">
              <w:rPr>
                <w:rFonts w:ascii="Times New Roman" w:hAnsi="Times New Roman" w:cs="Times New Roman"/>
              </w:rPr>
              <w:t xml:space="preserve"> per singola PFAS, ≥ </w:t>
            </w:r>
            <w:r w:rsidRPr="00B71EB6">
              <w:rPr>
                <w:rFonts w:ascii="Times New Roman" w:hAnsi="Times New Roman" w:cs="Times New Roman"/>
                <w:b/>
                <w:bCs/>
              </w:rPr>
              <w:t>250 ppb</w:t>
            </w:r>
            <w:r w:rsidRPr="00B71EB6">
              <w:rPr>
                <w:rFonts w:ascii="Times New Roman" w:hAnsi="Times New Roman" w:cs="Times New Roman"/>
              </w:rPr>
              <w:t xml:space="preserve"> per la somma delle PFAS e ≥ </w:t>
            </w:r>
            <w:r w:rsidRPr="00B71EB6">
              <w:rPr>
                <w:rFonts w:ascii="Times New Roman" w:hAnsi="Times New Roman" w:cs="Times New Roman"/>
                <w:b/>
                <w:bCs/>
              </w:rPr>
              <w:t>50 ppm</w:t>
            </w:r>
            <w:r w:rsidRPr="00B71EB6">
              <w:rPr>
                <w:rFonts w:ascii="Times New Roman" w:hAnsi="Times New Roman" w:cs="Times New Roman"/>
              </w:rPr>
              <w:t xml:space="preserve"> per PFAS complessive, secondo le modalità previste dal Regolamento.</w:t>
            </w:r>
          </w:p>
        </w:tc>
        <w:tc>
          <w:tcPr>
            <w:tcW w:w="0" w:type="auto"/>
            <w:vAlign w:val="center"/>
            <w:hideMark/>
          </w:tcPr>
          <w:p w14:paraId="031E1E4A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12 agosto 2026</w:t>
            </w:r>
            <w:r w:rsidRPr="00B71EB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54359" w:rsidRPr="00B71EB6" w14:paraId="43AC41BA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16C72A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Verifica della presenza di sostanze soggette a restrizioni</w:t>
            </w:r>
          </w:p>
        </w:tc>
        <w:tc>
          <w:tcPr>
            <w:tcW w:w="0" w:type="auto"/>
            <w:vAlign w:val="center"/>
            <w:hideMark/>
          </w:tcPr>
          <w:p w14:paraId="49E345D6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Art. 5</w:t>
            </w:r>
          </w:p>
        </w:tc>
        <w:tc>
          <w:tcPr>
            <w:tcW w:w="0" w:type="auto"/>
            <w:vAlign w:val="center"/>
            <w:hideMark/>
          </w:tcPr>
          <w:p w14:paraId="2EFB09B2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Il rispetto dei limiti relativi alle sostanze presenti negli imballaggi deve essere dimostrato nella documentazione tecnica.</w:t>
            </w:r>
          </w:p>
        </w:tc>
        <w:tc>
          <w:tcPr>
            <w:tcW w:w="0" w:type="auto"/>
            <w:vAlign w:val="center"/>
            <w:hideMark/>
          </w:tcPr>
          <w:p w14:paraId="6FAFBB2B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12 agosto 2026</w:t>
            </w:r>
          </w:p>
        </w:tc>
      </w:tr>
      <w:tr w:rsidR="00B54359" w:rsidRPr="00B71EB6" w14:paraId="1FB0162D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6265FF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Iscrizione al Registro nazionale dei produttori (EPR)</w:t>
            </w:r>
          </w:p>
        </w:tc>
        <w:tc>
          <w:tcPr>
            <w:tcW w:w="0" w:type="auto"/>
            <w:vAlign w:val="center"/>
            <w:hideMark/>
          </w:tcPr>
          <w:p w14:paraId="53EFB0EA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Art. 44</w:t>
            </w:r>
          </w:p>
        </w:tc>
        <w:tc>
          <w:tcPr>
            <w:tcW w:w="0" w:type="auto"/>
            <w:vAlign w:val="center"/>
            <w:hideMark/>
          </w:tcPr>
          <w:p w14:paraId="2D62F393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 xml:space="preserve">Il produttore deve registrarsi nel registro dello Stato membro in cui mette per la prima volta a disposizione imballaggi/prodotti imballati. </w:t>
            </w:r>
            <w:r w:rsidRPr="00B71EB6">
              <w:rPr>
                <w:rFonts w:ascii="Times New Roman" w:hAnsi="Times New Roman" w:cs="Times New Roman"/>
                <w:b/>
                <w:bCs/>
              </w:rPr>
              <w:t>Non può immettere sul mercato tali imballaggi se non è registrato.</w:t>
            </w:r>
          </w:p>
        </w:tc>
        <w:tc>
          <w:tcPr>
            <w:tcW w:w="0" w:type="auto"/>
            <w:vAlign w:val="center"/>
            <w:hideMark/>
          </w:tcPr>
          <w:p w14:paraId="48271DD3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Dal 12 agosto 2026</w:t>
            </w:r>
            <w:r w:rsidRPr="00B71EB6">
              <w:rPr>
                <w:rFonts w:ascii="Times New Roman" w:hAnsi="Times New Roman" w:cs="Times New Roman"/>
              </w:rPr>
              <w:t xml:space="preserve">, ma l'operatività concreta dipende dall'istituzione dei registri e dagli atti di esecuzione previsti dall'art. 44. </w:t>
            </w:r>
          </w:p>
        </w:tc>
      </w:tr>
      <w:tr w:rsidR="00B54359" w:rsidRPr="00B71EB6" w14:paraId="044A00D6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4F6CC0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Responsabilità estesa del produttore (EPR)</w:t>
            </w:r>
          </w:p>
        </w:tc>
        <w:tc>
          <w:tcPr>
            <w:tcW w:w="0" w:type="auto"/>
            <w:vAlign w:val="center"/>
            <w:hideMark/>
          </w:tcPr>
          <w:p w14:paraId="1F0BE8A1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Art. 45</w:t>
            </w:r>
          </w:p>
        </w:tc>
        <w:tc>
          <w:tcPr>
            <w:tcW w:w="0" w:type="auto"/>
            <w:vAlign w:val="center"/>
            <w:hideMark/>
          </w:tcPr>
          <w:p w14:paraId="26E82B07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 xml:space="preserve">Il produttore è responsabile degli obblighi EPR per gli imballaggi che mette per la prima volta a disposizione sul territorio dello Stato membro o che </w:t>
            </w:r>
            <w:r w:rsidRPr="00B71EB6">
              <w:rPr>
                <w:rFonts w:ascii="Times New Roman" w:hAnsi="Times New Roman" w:cs="Times New Roman"/>
              </w:rPr>
              <w:lastRenderedPageBreak/>
              <w:t>disimballa senza essere utilizzatore finale.</w:t>
            </w:r>
          </w:p>
        </w:tc>
        <w:tc>
          <w:tcPr>
            <w:tcW w:w="0" w:type="auto"/>
            <w:vAlign w:val="center"/>
            <w:hideMark/>
          </w:tcPr>
          <w:p w14:paraId="33C76A69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lastRenderedPageBreak/>
              <w:t>12 agosto 2026</w:t>
            </w:r>
            <w:r w:rsidRPr="00B71EB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54359" w:rsidRPr="00B71EB6" w14:paraId="256A7737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0EB82F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Verifica dell'iscrizione EPR da parte del distributore</w:t>
            </w:r>
          </w:p>
        </w:tc>
        <w:tc>
          <w:tcPr>
            <w:tcW w:w="0" w:type="auto"/>
            <w:vAlign w:val="center"/>
            <w:hideMark/>
          </w:tcPr>
          <w:p w14:paraId="1DBC9D85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Art. 19</w:t>
            </w:r>
          </w:p>
        </w:tc>
        <w:tc>
          <w:tcPr>
            <w:tcW w:w="0" w:type="auto"/>
            <w:vAlign w:val="center"/>
            <w:hideMark/>
          </w:tcPr>
          <w:p w14:paraId="67F3C4DD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Il distributore deve verificare che il produttore soggetto agli obblighi EPR sia registrato nel relativo registro.</w:t>
            </w:r>
          </w:p>
        </w:tc>
        <w:tc>
          <w:tcPr>
            <w:tcW w:w="0" w:type="auto"/>
            <w:vAlign w:val="center"/>
            <w:hideMark/>
          </w:tcPr>
          <w:p w14:paraId="0DD4526A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12 agosto 2026</w:t>
            </w:r>
          </w:p>
        </w:tc>
      </w:tr>
      <w:tr w:rsidR="00B54359" w:rsidRPr="00B71EB6" w14:paraId="0628B284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6C3022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Minimizzazione dell'imballaggio</w:t>
            </w:r>
          </w:p>
        </w:tc>
        <w:tc>
          <w:tcPr>
            <w:tcW w:w="0" w:type="auto"/>
            <w:vAlign w:val="center"/>
            <w:hideMark/>
          </w:tcPr>
          <w:p w14:paraId="517F2FD7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Art. 10</w:t>
            </w:r>
          </w:p>
        </w:tc>
        <w:tc>
          <w:tcPr>
            <w:tcW w:w="0" w:type="auto"/>
            <w:vAlign w:val="center"/>
            <w:hideMark/>
          </w:tcPr>
          <w:p w14:paraId="175B1A62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Fabbricante/importatore devono assicurare che peso e volume dell'imballaggio siano ridotti al minimo necessario per garantirne la funzionalità.</w:t>
            </w:r>
          </w:p>
        </w:tc>
        <w:tc>
          <w:tcPr>
            <w:tcW w:w="0" w:type="auto"/>
            <w:vAlign w:val="center"/>
            <w:hideMark/>
          </w:tcPr>
          <w:p w14:paraId="1D0FE74A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1° gennaio 2030</w:t>
            </w:r>
            <w:r w:rsidRPr="00B71EB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54359" w:rsidRPr="00B71EB6" w14:paraId="579B3C79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52102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proofErr w:type="spellStart"/>
            <w:r w:rsidRPr="00B71EB6">
              <w:rPr>
                <w:rFonts w:ascii="Times New Roman" w:hAnsi="Times New Roman" w:cs="Times New Roman"/>
                <w:b/>
                <w:bCs/>
              </w:rPr>
              <w:t>Recyclability</w:t>
            </w:r>
            <w:proofErr w:type="spellEnd"/>
            <w:r w:rsidRPr="00B71EB6">
              <w:rPr>
                <w:rFonts w:ascii="Times New Roman" w:hAnsi="Times New Roman" w:cs="Times New Roman"/>
                <w:b/>
                <w:bCs/>
              </w:rPr>
              <w:t xml:space="preserve"> / progettazione per il riciclo</w:t>
            </w:r>
          </w:p>
        </w:tc>
        <w:tc>
          <w:tcPr>
            <w:tcW w:w="0" w:type="auto"/>
            <w:vAlign w:val="center"/>
            <w:hideMark/>
          </w:tcPr>
          <w:p w14:paraId="76E02643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Art. 6</w:t>
            </w:r>
          </w:p>
        </w:tc>
        <w:tc>
          <w:tcPr>
            <w:tcW w:w="0" w:type="auto"/>
            <w:vAlign w:val="center"/>
            <w:hideMark/>
          </w:tcPr>
          <w:p w14:paraId="1028BEB2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 xml:space="preserve">Gli imballaggi dovranno rispettare i requisiti di riciclabilità e, successivamente, essere classificati secondo le performance </w:t>
            </w:r>
            <w:proofErr w:type="spellStart"/>
            <w:r w:rsidRPr="00B71EB6">
              <w:rPr>
                <w:rFonts w:ascii="Times New Roman" w:hAnsi="Times New Roman" w:cs="Times New Roman"/>
              </w:rPr>
              <w:t>grades</w:t>
            </w:r>
            <w:proofErr w:type="spellEnd"/>
            <w:r w:rsidRPr="00B71EB6">
              <w:rPr>
                <w:rFonts w:ascii="Times New Roman" w:hAnsi="Times New Roman" w:cs="Times New Roman"/>
              </w:rPr>
              <w:t xml:space="preserve"> previste dal PPWR.</w:t>
            </w:r>
          </w:p>
        </w:tc>
        <w:tc>
          <w:tcPr>
            <w:tcW w:w="0" w:type="auto"/>
            <w:vAlign w:val="center"/>
            <w:hideMark/>
          </w:tcPr>
          <w:p w14:paraId="06286AF0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Dal 1° gennaio 2030</w:t>
            </w:r>
            <w:r w:rsidRPr="00B71EB6">
              <w:rPr>
                <w:rFonts w:ascii="Times New Roman" w:hAnsi="Times New Roman" w:cs="Times New Roman"/>
              </w:rPr>
              <w:t xml:space="preserve">, con alcune decorrenze collegate agli atti delegati/di esecuzione. </w:t>
            </w:r>
          </w:p>
        </w:tc>
      </w:tr>
      <w:tr w:rsidR="00B54359" w:rsidRPr="00B71EB6" w14:paraId="1EA64BA6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6BCC24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Contenuto minimo di riciclato negli imballaggi in plastica</w:t>
            </w:r>
          </w:p>
        </w:tc>
        <w:tc>
          <w:tcPr>
            <w:tcW w:w="0" w:type="auto"/>
            <w:vAlign w:val="center"/>
            <w:hideMark/>
          </w:tcPr>
          <w:p w14:paraId="37836748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Art. 7</w:t>
            </w:r>
          </w:p>
        </w:tc>
        <w:tc>
          <w:tcPr>
            <w:tcW w:w="0" w:type="auto"/>
            <w:vAlign w:val="center"/>
            <w:hideMark/>
          </w:tcPr>
          <w:p w14:paraId="471E05B4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Introduzione di percentuali minime di materiale riciclato post-consumo, differenziate per tipologia di imballaggio.</w:t>
            </w:r>
          </w:p>
        </w:tc>
        <w:tc>
          <w:tcPr>
            <w:tcW w:w="0" w:type="auto"/>
            <w:vAlign w:val="center"/>
            <w:hideMark/>
          </w:tcPr>
          <w:p w14:paraId="65CDAE58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1° gennaio 2030</w:t>
            </w:r>
            <w:r w:rsidRPr="00B71EB6">
              <w:rPr>
                <w:rFonts w:ascii="Times New Roman" w:hAnsi="Times New Roman" w:cs="Times New Roman"/>
              </w:rPr>
              <w:t xml:space="preserve"> (con specifiche condizioni temporali previste dall'articolo 7); ulteriori incrementi dal </w:t>
            </w:r>
            <w:r w:rsidRPr="00B71EB6">
              <w:rPr>
                <w:rFonts w:ascii="Times New Roman" w:hAnsi="Times New Roman" w:cs="Times New Roman"/>
                <w:b/>
                <w:bCs/>
              </w:rPr>
              <w:t>2040</w:t>
            </w:r>
            <w:r w:rsidRPr="00B71EB6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B54359" w:rsidRPr="00B71EB6" w14:paraId="5F36C0C0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0E56F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Divieto di imballaggi in plastica monouso per ortofrutta fresca &lt; 1,5 kg</w:t>
            </w:r>
          </w:p>
        </w:tc>
        <w:tc>
          <w:tcPr>
            <w:tcW w:w="0" w:type="auto"/>
            <w:vAlign w:val="center"/>
            <w:hideMark/>
          </w:tcPr>
          <w:p w14:paraId="595ED420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Art. 25 + Allegato V, punto 2</w:t>
            </w:r>
          </w:p>
        </w:tc>
        <w:tc>
          <w:tcPr>
            <w:tcW w:w="0" w:type="auto"/>
            <w:vAlign w:val="center"/>
            <w:hideMark/>
          </w:tcPr>
          <w:p w14:paraId="25FCB2C2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 xml:space="preserve">Divieto di immissione sul mercato di imballaggi in plastica monouso destinati a prodotti ortofrutticoli freschi non trasformati preconfezionati in quantità </w:t>
            </w:r>
            <w:r w:rsidRPr="00B71EB6">
              <w:rPr>
                <w:rFonts w:ascii="Times New Roman" w:hAnsi="Times New Roman" w:cs="Times New Roman"/>
                <w:b/>
                <w:bCs/>
              </w:rPr>
              <w:t>inferiori a 1,5 kg</w:t>
            </w:r>
            <w:r w:rsidRPr="00B71EB6">
              <w:rPr>
                <w:rFonts w:ascii="Times New Roman" w:hAnsi="Times New Roman" w:cs="Times New Roman"/>
              </w:rPr>
              <w:t>, salvo le deroghe previste dal PPWR.</w:t>
            </w:r>
          </w:p>
        </w:tc>
        <w:tc>
          <w:tcPr>
            <w:tcW w:w="0" w:type="auto"/>
            <w:vAlign w:val="center"/>
            <w:hideMark/>
          </w:tcPr>
          <w:p w14:paraId="6A627BDD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1° gennaio 2030</w:t>
            </w:r>
            <w:r w:rsidRPr="00B71EB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54359" w:rsidRPr="00B71EB6" w14:paraId="160D8FA3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8D5C11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Deroghe al divieto ortofrutta</w:t>
            </w:r>
          </w:p>
        </w:tc>
        <w:tc>
          <w:tcPr>
            <w:tcW w:w="0" w:type="auto"/>
            <w:vAlign w:val="center"/>
            <w:hideMark/>
          </w:tcPr>
          <w:p w14:paraId="1411DB9C" w14:textId="77777777" w:rsidR="00B54359" w:rsidRPr="00B71EB6" w:rsidRDefault="00B54359" w:rsidP="00B54359">
            <w:pPr>
              <w:rPr>
                <w:rFonts w:ascii="Times New Roman" w:hAnsi="Times New Roman" w:cs="Times New Roman"/>
                <w:lang w:val="en-US"/>
              </w:rPr>
            </w:pPr>
            <w:r w:rsidRPr="00B71EB6">
              <w:rPr>
                <w:rFonts w:ascii="Times New Roman" w:hAnsi="Times New Roman" w:cs="Times New Roman"/>
                <w:lang w:val="en-US"/>
              </w:rPr>
              <w:t xml:space="preserve">Art. 25, par. 3 + Art. 9, par. 2, </w:t>
            </w:r>
            <w:proofErr w:type="spellStart"/>
            <w:r w:rsidRPr="00B71EB6">
              <w:rPr>
                <w:rFonts w:ascii="Times New Roman" w:hAnsi="Times New Roman" w:cs="Times New Roman"/>
                <w:lang w:val="en-US"/>
              </w:rPr>
              <w:t>lett</w:t>
            </w:r>
            <w:proofErr w:type="spellEnd"/>
            <w:r w:rsidRPr="00B71EB6">
              <w:rPr>
                <w:rFonts w:ascii="Times New Roman" w:hAnsi="Times New Roman" w:cs="Times New Roman"/>
                <w:lang w:val="en-US"/>
              </w:rPr>
              <w:t>. b)</w:t>
            </w:r>
          </w:p>
        </w:tc>
        <w:tc>
          <w:tcPr>
            <w:tcW w:w="0" w:type="auto"/>
            <w:vAlign w:val="center"/>
            <w:hideMark/>
          </w:tcPr>
          <w:p w14:paraId="0C22A493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Gli Stati membri possono prevedere deroghe, in particolare ove l'imballaggio sia necessario per evitare perdita d'acqua/turgore, rischi microbiologici o danni fisici, ossidazione o commistione tra prodotti biologici e non biologici, alle condizioni previste dal Regolamento.</w:t>
            </w:r>
          </w:p>
        </w:tc>
        <w:tc>
          <w:tcPr>
            <w:tcW w:w="0" w:type="auto"/>
            <w:vAlign w:val="center"/>
            <w:hideMark/>
          </w:tcPr>
          <w:p w14:paraId="28105805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Dal 1° gennaio 2030</w:t>
            </w:r>
            <w:r w:rsidRPr="00B71EB6">
              <w:rPr>
                <w:rFonts w:ascii="Times New Roman" w:hAnsi="Times New Roman" w:cs="Times New Roman"/>
              </w:rPr>
              <w:t xml:space="preserve"> per il divieto UE; le deroghe vanno valutate secondo il quadro dell'art. 9. </w:t>
            </w:r>
          </w:p>
        </w:tc>
      </w:tr>
      <w:tr w:rsidR="00B54359" w:rsidRPr="00B71EB6" w14:paraId="444CFF02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4C0F32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Divieto di alcune confezioni monouso in plastica nel settore HORECA</w:t>
            </w:r>
          </w:p>
        </w:tc>
        <w:tc>
          <w:tcPr>
            <w:tcW w:w="0" w:type="auto"/>
            <w:vAlign w:val="center"/>
            <w:hideMark/>
          </w:tcPr>
          <w:p w14:paraId="7DEFC6BB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Art. 25 + Allegato V</w:t>
            </w:r>
          </w:p>
        </w:tc>
        <w:tc>
          <w:tcPr>
            <w:tcW w:w="0" w:type="auto"/>
            <w:vAlign w:val="center"/>
            <w:hideMark/>
          </w:tcPr>
          <w:p w14:paraId="72A7DE67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Divieto di specifiche categorie di imballaggi monouso in plastica, tra cui quelli utilizzati per alimenti e bevande consumati nei locali HORECA e determinate confezioni monodose.</w:t>
            </w:r>
          </w:p>
        </w:tc>
        <w:tc>
          <w:tcPr>
            <w:tcW w:w="0" w:type="auto"/>
            <w:vAlign w:val="center"/>
            <w:hideMark/>
          </w:tcPr>
          <w:p w14:paraId="2D0C19F8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1° gennaio 2030</w:t>
            </w:r>
            <w:r w:rsidRPr="00B71EB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54359" w:rsidRPr="00B71EB6" w14:paraId="7E4720A2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DFC73E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lastRenderedPageBreak/>
              <w:t>Riduzione dello spazio vuoto</w:t>
            </w:r>
          </w:p>
        </w:tc>
        <w:tc>
          <w:tcPr>
            <w:tcW w:w="0" w:type="auto"/>
            <w:vAlign w:val="center"/>
            <w:hideMark/>
          </w:tcPr>
          <w:p w14:paraId="1BEB755C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Art. 24</w:t>
            </w:r>
          </w:p>
        </w:tc>
        <w:tc>
          <w:tcPr>
            <w:tcW w:w="0" w:type="auto"/>
            <w:vAlign w:val="center"/>
            <w:hideMark/>
          </w:tcPr>
          <w:p w14:paraId="33020A1D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 xml:space="preserve">Per imballaggi raggruppati, da trasporto ed e-commerce, rapporto massimo di spazio vuoto del </w:t>
            </w:r>
            <w:r w:rsidRPr="00B71EB6">
              <w:rPr>
                <w:rFonts w:ascii="Times New Roman" w:hAnsi="Times New Roman" w:cs="Times New Roman"/>
                <w:b/>
                <w:bCs/>
              </w:rPr>
              <w:t>50%</w:t>
            </w:r>
            <w:r w:rsidRPr="00B71EB6">
              <w:rPr>
                <w:rFonts w:ascii="Times New Roman" w:hAnsi="Times New Roman" w:cs="Times New Roman"/>
              </w:rPr>
              <w:t>, secondo la metodologia stabilita dalla Commissione.</w:t>
            </w:r>
          </w:p>
        </w:tc>
        <w:tc>
          <w:tcPr>
            <w:tcW w:w="0" w:type="auto"/>
            <w:vAlign w:val="center"/>
            <w:hideMark/>
          </w:tcPr>
          <w:p w14:paraId="704ABD25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1° gennaio 2030</w:t>
            </w:r>
            <w:r w:rsidRPr="00B71EB6">
              <w:rPr>
                <w:rFonts w:ascii="Times New Roman" w:hAnsi="Times New Roman" w:cs="Times New Roman"/>
              </w:rPr>
              <w:t xml:space="preserve"> o 3 anni dall'entrata in vigore degli atti di esecuzione, se successiva. </w:t>
            </w:r>
          </w:p>
        </w:tc>
      </w:tr>
      <w:tr w:rsidR="00B54359" w:rsidRPr="00B71EB6" w14:paraId="3DBB65F1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BBF226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Etichettatura armonizzata degli imballaggi</w:t>
            </w:r>
          </w:p>
        </w:tc>
        <w:tc>
          <w:tcPr>
            <w:tcW w:w="0" w:type="auto"/>
            <w:vAlign w:val="center"/>
            <w:hideMark/>
          </w:tcPr>
          <w:p w14:paraId="0A4542B2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Art. 12</w:t>
            </w:r>
          </w:p>
        </w:tc>
        <w:tc>
          <w:tcPr>
            <w:tcW w:w="0" w:type="auto"/>
            <w:vAlign w:val="center"/>
            <w:hideMark/>
          </w:tcPr>
          <w:p w14:paraId="1E1C648F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Introduzione progressiva di requisiti armonizzati per indicare composizione e modalità di gestione del rifiuto di imballaggio.</w:t>
            </w:r>
          </w:p>
        </w:tc>
        <w:tc>
          <w:tcPr>
            <w:tcW w:w="0" w:type="auto"/>
            <w:vAlign w:val="center"/>
            <w:hideMark/>
          </w:tcPr>
          <w:p w14:paraId="424A76C6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 xml:space="preserve">In generale </w:t>
            </w:r>
            <w:r w:rsidRPr="00B71EB6">
              <w:rPr>
                <w:rFonts w:ascii="Times New Roman" w:hAnsi="Times New Roman" w:cs="Times New Roman"/>
                <w:b/>
                <w:bCs/>
              </w:rPr>
              <w:t>12 agosto 2028</w:t>
            </w:r>
            <w:r w:rsidRPr="00B71EB6">
              <w:rPr>
                <w:rFonts w:ascii="Times New Roman" w:hAnsi="Times New Roman" w:cs="Times New Roman"/>
              </w:rPr>
              <w:t xml:space="preserve"> per le principali disposizioni di etichettatura, salvo diverse decorrenze specifiche.</w:t>
            </w:r>
          </w:p>
        </w:tc>
      </w:tr>
      <w:tr w:rsidR="00B54359" w:rsidRPr="00B71EB6" w14:paraId="299A728B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42AA7D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Simbolo/identificazione EPR digitale</w:t>
            </w:r>
          </w:p>
        </w:tc>
        <w:tc>
          <w:tcPr>
            <w:tcW w:w="0" w:type="auto"/>
            <w:vAlign w:val="center"/>
            <w:hideMark/>
          </w:tcPr>
          <w:p w14:paraId="6D935260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Art. 12, par. 9</w:t>
            </w:r>
          </w:p>
        </w:tc>
        <w:tc>
          <w:tcPr>
            <w:tcW w:w="0" w:type="auto"/>
            <w:vAlign w:val="center"/>
            <w:hideMark/>
          </w:tcPr>
          <w:p w14:paraId="47CC2C54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Gli imballaggi soggetti a EPR potranno essere identificati mediante simbolo inserito in QR code o altra tecnologia digitale standardizzata e aperta.</w:t>
            </w:r>
          </w:p>
        </w:tc>
        <w:tc>
          <w:tcPr>
            <w:tcW w:w="0" w:type="auto"/>
            <w:vAlign w:val="center"/>
            <w:hideMark/>
          </w:tcPr>
          <w:p w14:paraId="7ECD6B4D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12 febbraio 2027</w:t>
            </w:r>
            <w:r w:rsidRPr="00B71EB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54359" w:rsidRPr="00B71EB6" w14:paraId="0A110AF9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2904DB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Obiettivi di riutilizzo</w:t>
            </w:r>
          </w:p>
        </w:tc>
        <w:tc>
          <w:tcPr>
            <w:tcW w:w="0" w:type="auto"/>
            <w:vAlign w:val="center"/>
            <w:hideMark/>
          </w:tcPr>
          <w:p w14:paraId="31AC0E8A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Artt. 26-29</w:t>
            </w:r>
          </w:p>
        </w:tc>
        <w:tc>
          <w:tcPr>
            <w:tcW w:w="0" w:type="auto"/>
            <w:vAlign w:val="center"/>
            <w:hideMark/>
          </w:tcPr>
          <w:p w14:paraId="30B69AD3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Introduzione progressiva di obblighi relativi alla disponibilità di sistemi di riutilizzo e a specifiche percentuali di imballaggi riutilizzabili.</w:t>
            </w:r>
          </w:p>
        </w:tc>
        <w:tc>
          <w:tcPr>
            <w:tcW w:w="0" w:type="auto"/>
            <w:vAlign w:val="center"/>
            <w:hideMark/>
          </w:tcPr>
          <w:p w14:paraId="685E708F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Dal 2030</w:t>
            </w:r>
            <w:r w:rsidRPr="00B71EB6">
              <w:rPr>
                <w:rFonts w:ascii="Times New Roman" w:hAnsi="Times New Roman" w:cs="Times New Roman"/>
              </w:rPr>
              <w:t>, con obiettivi progressivamente più stringenti fino al 2040.</w:t>
            </w:r>
          </w:p>
        </w:tc>
      </w:tr>
      <w:tr w:rsidR="00B54359" w:rsidRPr="00B71EB6" w14:paraId="40989B10" w14:textId="77777777" w:rsidTr="00B5435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DEB0F2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Divieto di alcune pratiche di sovra-imballaggio</w:t>
            </w:r>
          </w:p>
        </w:tc>
        <w:tc>
          <w:tcPr>
            <w:tcW w:w="0" w:type="auto"/>
            <w:vAlign w:val="center"/>
            <w:hideMark/>
          </w:tcPr>
          <w:p w14:paraId="5C37207C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Art. 10</w:t>
            </w:r>
          </w:p>
        </w:tc>
        <w:tc>
          <w:tcPr>
            <w:tcW w:w="0" w:type="auto"/>
            <w:vAlign w:val="center"/>
            <w:hideMark/>
          </w:tcPr>
          <w:p w14:paraId="49E61674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</w:rPr>
              <w:t>Divieto di imballaggi che presentano caratteristiche finalizzate esclusivamente ad aumentare il volume percepito (doppi fondi, doppie pareti, strati non necessari, ecc.), salvo specifiche eccezioni.</w:t>
            </w:r>
          </w:p>
        </w:tc>
        <w:tc>
          <w:tcPr>
            <w:tcW w:w="0" w:type="auto"/>
            <w:vAlign w:val="center"/>
            <w:hideMark/>
          </w:tcPr>
          <w:p w14:paraId="1AF83F14" w14:textId="77777777" w:rsidR="00B54359" w:rsidRPr="00B71EB6" w:rsidRDefault="00B54359" w:rsidP="00B54359">
            <w:pPr>
              <w:rPr>
                <w:rFonts w:ascii="Times New Roman" w:hAnsi="Times New Roman" w:cs="Times New Roman"/>
              </w:rPr>
            </w:pPr>
            <w:r w:rsidRPr="00B71EB6">
              <w:rPr>
                <w:rFonts w:ascii="Times New Roman" w:hAnsi="Times New Roman" w:cs="Times New Roman"/>
                <w:b/>
                <w:bCs/>
              </w:rPr>
              <w:t>1° gennaio 2030</w:t>
            </w:r>
            <w:r w:rsidRPr="00B71EB6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2D6AB178" w14:textId="77777777" w:rsidR="008B1121" w:rsidRPr="00B71EB6" w:rsidRDefault="008B1121" w:rsidP="00B54359">
      <w:pPr>
        <w:rPr>
          <w:rFonts w:ascii="Times New Roman" w:hAnsi="Times New Roman" w:cs="Times New Roman"/>
        </w:rPr>
      </w:pPr>
    </w:p>
    <w:sectPr w:rsidR="008B1121" w:rsidRPr="00B71E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359"/>
    <w:rsid w:val="001F50DA"/>
    <w:rsid w:val="00220DFC"/>
    <w:rsid w:val="00322164"/>
    <w:rsid w:val="008B1121"/>
    <w:rsid w:val="009B3D8E"/>
    <w:rsid w:val="00B54359"/>
    <w:rsid w:val="00B7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302B2"/>
  <w15:chartTrackingRefBased/>
  <w15:docId w15:val="{BDE9A961-13E5-4184-8650-D8E802EF0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54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4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43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43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43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43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43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43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43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43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43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43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435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435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435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435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435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435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43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4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43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4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4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435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435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435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43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435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43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835</Words>
  <Characters>4763</Characters>
  <Application>Microsoft Office Word</Application>
  <DocSecurity>4</DocSecurity>
  <Lines>39</Lines>
  <Paragraphs>11</Paragraphs>
  <ScaleCrop>false</ScaleCrop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Giardi</dc:creator>
  <cp:keywords/>
  <dc:description/>
  <cp:lastModifiedBy>Donato Rotundo</cp:lastModifiedBy>
  <cp:revision>2</cp:revision>
  <dcterms:created xsi:type="dcterms:W3CDTF">2026-09-10T11:36:00Z</dcterms:created>
  <dcterms:modified xsi:type="dcterms:W3CDTF">2026-09-10T11:36:00Z</dcterms:modified>
</cp:coreProperties>
</file>